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773" w:rsidRPr="00424773" w:rsidRDefault="00424773" w:rsidP="007F5CC1">
      <w:pPr>
        <w:pStyle w:val="Sansinterligne"/>
        <w:ind w:right="549"/>
        <w:jc w:val="center"/>
      </w:pPr>
      <w:r w:rsidRPr="001D5E51">
        <w:rPr>
          <w:noProof/>
          <w:lang w:eastAsia="fr-FR"/>
        </w:rPr>
        <w:drawing>
          <wp:inline distT="0" distB="0" distL="0" distR="0">
            <wp:extent cx="3111500" cy="25239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02" t="2931" r="18188" b="2067"/>
                    <a:stretch/>
                  </pic:blipFill>
                  <pic:spPr bwMode="auto">
                    <a:xfrm>
                      <a:off x="0" y="0"/>
                      <a:ext cx="3126199" cy="2535880"/>
                    </a:xfrm>
                    <a:prstGeom prst="rect">
                      <a:avLst/>
                    </a:prstGeom>
                    <a:noFill/>
                    <a:ln>
                      <a:noFill/>
                    </a:ln>
                    <a:extLst>
                      <a:ext uri="{53640926-AAD7-44D8-BBD7-CCE9431645EC}">
                        <a14:shadowObscured xmlns:a14="http://schemas.microsoft.com/office/drawing/2010/main"/>
                      </a:ext>
                    </a:extLst>
                  </pic:spPr>
                </pic:pic>
              </a:graphicData>
            </a:graphic>
          </wp:inline>
        </w:drawing>
      </w:r>
    </w:p>
    <w:p w:rsidR="00471189" w:rsidRDefault="00424773" w:rsidP="007F5CC1">
      <w:pPr>
        <w:pStyle w:val="Sansinterligne"/>
        <w:pBdr>
          <w:top w:val="single" w:sz="4" w:space="1" w:color="auto"/>
          <w:left w:val="single" w:sz="4" w:space="4" w:color="auto"/>
          <w:bottom w:val="single" w:sz="4" w:space="1" w:color="auto"/>
          <w:right w:val="single" w:sz="4" w:space="4" w:color="auto"/>
        </w:pBdr>
        <w:ind w:right="549"/>
        <w:jc w:val="center"/>
        <w:rPr>
          <w:b/>
          <w:color w:val="C00000"/>
        </w:rPr>
      </w:pPr>
      <w:r w:rsidRPr="00424773">
        <w:t xml:space="preserve"> </w:t>
      </w:r>
      <w:r w:rsidRPr="006C51ED">
        <w:rPr>
          <w:b/>
          <w:color w:val="C00000"/>
        </w:rPr>
        <w:t>ENQU</w:t>
      </w:r>
      <w:r w:rsidR="00471189">
        <w:rPr>
          <w:b/>
          <w:color w:val="C00000"/>
        </w:rPr>
        <w:t xml:space="preserve">ÊTE </w:t>
      </w:r>
    </w:p>
    <w:p w:rsidR="00424773" w:rsidRDefault="00471189" w:rsidP="007F5CC1">
      <w:pPr>
        <w:pStyle w:val="Sansinterligne"/>
        <w:pBdr>
          <w:top w:val="single" w:sz="4" w:space="1" w:color="auto"/>
          <w:left w:val="single" w:sz="4" w:space="4" w:color="auto"/>
          <w:bottom w:val="single" w:sz="4" w:space="1" w:color="auto"/>
          <w:right w:val="single" w:sz="4" w:space="4" w:color="auto"/>
        </w:pBdr>
        <w:ind w:right="549"/>
        <w:jc w:val="center"/>
        <w:rPr>
          <w:b/>
          <w:color w:val="C00000"/>
        </w:rPr>
      </w:pPr>
      <w:r>
        <w:rPr>
          <w:b/>
          <w:color w:val="C00000"/>
        </w:rPr>
        <w:t xml:space="preserve">VERS LES MEMBRES DE L’ASTEE, </w:t>
      </w:r>
      <w:r w:rsidR="00424773" w:rsidRPr="006C51ED">
        <w:rPr>
          <w:b/>
          <w:color w:val="C00000"/>
        </w:rPr>
        <w:t>de la FNCCR</w:t>
      </w:r>
      <w:r w:rsidR="00A57E68">
        <w:rPr>
          <w:b/>
          <w:color w:val="C00000"/>
        </w:rPr>
        <w:t xml:space="preserve">, </w:t>
      </w:r>
      <w:r w:rsidR="00160B5C">
        <w:rPr>
          <w:b/>
          <w:color w:val="C00000"/>
        </w:rPr>
        <w:t xml:space="preserve">du GRAIE, </w:t>
      </w:r>
      <w:r w:rsidR="00A57E68">
        <w:rPr>
          <w:b/>
          <w:color w:val="C00000"/>
        </w:rPr>
        <w:t xml:space="preserve">de la FENARIVE, </w:t>
      </w:r>
      <w:proofErr w:type="spellStart"/>
      <w:r>
        <w:rPr>
          <w:b/>
          <w:color w:val="C00000"/>
        </w:rPr>
        <w:t>d’EpE</w:t>
      </w:r>
      <w:proofErr w:type="spellEnd"/>
      <w:r w:rsidR="00A57E68">
        <w:rPr>
          <w:b/>
          <w:color w:val="C00000"/>
        </w:rPr>
        <w:t xml:space="preserve"> et d’AMORCE</w:t>
      </w:r>
    </w:p>
    <w:p w:rsidR="00471189" w:rsidRDefault="00471189" w:rsidP="007F5CC1">
      <w:pPr>
        <w:pStyle w:val="Sansinterligne"/>
        <w:pBdr>
          <w:top w:val="single" w:sz="4" w:space="1" w:color="auto"/>
          <w:left w:val="single" w:sz="4" w:space="4" w:color="auto"/>
          <w:bottom w:val="single" w:sz="4" w:space="1" w:color="auto"/>
          <w:right w:val="single" w:sz="4" w:space="4" w:color="auto"/>
        </w:pBdr>
        <w:ind w:right="549"/>
        <w:jc w:val="center"/>
        <w:rPr>
          <w:b/>
          <w:color w:val="C00000"/>
        </w:rPr>
      </w:pPr>
      <w:r>
        <w:rPr>
          <w:b/>
          <w:color w:val="C00000"/>
        </w:rPr>
        <w:sym w:font="Wingdings 3" w:char="F082"/>
      </w:r>
    </w:p>
    <w:p w:rsidR="00471189" w:rsidRPr="00471189" w:rsidRDefault="00471189" w:rsidP="00471189">
      <w:pPr>
        <w:pStyle w:val="Sansinterligne"/>
        <w:pBdr>
          <w:top w:val="single" w:sz="4" w:space="1" w:color="auto"/>
          <w:left w:val="single" w:sz="4" w:space="4" w:color="auto"/>
          <w:bottom w:val="single" w:sz="4" w:space="1" w:color="auto"/>
          <w:right w:val="single" w:sz="4" w:space="4" w:color="auto"/>
        </w:pBdr>
        <w:ind w:right="549"/>
        <w:jc w:val="center"/>
        <w:rPr>
          <w:color w:val="C00000"/>
        </w:rPr>
      </w:pPr>
      <w:r w:rsidRPr="00471189">
        <w:rPr>
          <w:color w:val="C00000"/>
        </w:rPr>
        <w:t>Développer une métrologie basée à partir de mesures de biosurveillance</w:t>
      </w:r>
      <w:r>
        <w:rPr>
          <w:rStyle w:val="Appelnotedebasdep"/>
          <w:color w:val="C00000"/>
        </w:rPr>
        <w:footnoteReference w:id="1"/>
      </w:r>
      <w:r w:rsidRPr="00471189">
        <w:rPr>
          <w:color w:val="C00000"/>
        </w:rPr>
        <w:t xml:space="preserve"> : une opportunité pour l’environnement et les acteurs de l’eau mais dans quelles conditions ? </w:t>
      </w:r>
    </w:p>
    <w:p w:rsidR="00471189" w:rsidRPr="006C51ED" w:rsidRDefault="00471189" w:rsidP="007F5CC1">
      <w:pPr>
        <w:pStyle w:val="Sansinterligne"/>
        <w:pBdr>
          <w:top w:val="single" w:sz="4" w:space="1" w:color="auto"/>
          <w:left w:val="single" w:sz="4" w:space="4" w:color="auto"/>
          <w:bottom w:val="single" w:sz="4" w:space="1" w:color="auto"/>
          <w:right w:val="single" w:sz="4" w:space="4" w:color="auto"/>
        </w:pBdr>
        <w:ind w:right="549"/>
        <w:jc w:val="center"/>
        <w:rPr>
          <w:b/>
          <w:color w:val="C00000"/>
        </w:rPr>
      </w:pPr>
    </w:p>
    <w:p w:rsidR="00424773" w:rsidRDefault="00424773" w:rsidP="007F5CC1">
      <w:pPr>
        <w:pStyle w:val="Sansinterligne"/>
        <w:ind w:right="549"/>
        <w:jc w:val="both"/>
      </w:pPr>
    </w:p>
    <w:p w:rsidR="00424773" w:rsidRPr="00424773" w:rsidRDefault="00424773" w:rsidP="007F5CC1">
      <w:pPr>
        <w:pStyle w:val="Sansinterligne"/>
        <w:ind w:right="549"/>
        <w:jc w:val="both"/>
        <w:rPr>
          <w:b/>
        </w:rPr>
      </w:pPr>
      <w:r w:rsidRPr="00424773">
        <w:rPr>
          <w:b/>
        </w:rPr>
        <w:t xml:space="preserve">INTRODUCTION </w:t>
      </w:r>
      <w:r>
        <w:rPr>
          <w:b/>
        </w:rPr>
        <w:sym w:font="Wingdings 3" w:char="F082"/>
      </w:r>
    </w:p>
    <w:p w:rsidR="00424773" w:rsidRPr="007F5CC1" w:rsidRDefault="00424773" w:rsidP="007F5CC1">
      <w:pPr>
        <w:pStyle w:val="Sansinterligne"/>
        <w:ind w:right="549"/>
        <w:jc w:val="both"/>
        <w:rPr>
          <w:sz w:val="10"/>
          <w:szCs w:val="10"/>
        </w:rPr>
      </w:pPr>
    </w:p>
    <w:p w:rsidR="00424773" w:rsidRDefault="00424773" w:rsidP="007F5CC1">
      <w:pPr>
        <w:pStyle w:val="Sansinterligne"/>
        <w:ind w:right="549"/>
        <w:jc w:val="both"/>
      </w:pPr>
      <w:r w:rsidRPr="00424773">
        <w:t>La Directive 2000/60/CE du Parlement européen et du Conseil du 23 octobre 2000 établissant un cadre pour une politique communautaire dans le domaine de l’eau, dite « Directive Cadre sur l’Eau » (DCE), est entrée en vigueur en décembre 2000. Depuis cette date, la DCE a conduit les Etats membres à évaluer l’état de leurs masses d'eau (lacs, rivières, eaux souterrai</w:t>
      </w:r>
      <w:r>
        <w:t>nes). Cet état est évalué par :</w:t>
      </w:r>
    </w:p>
    <w:p w:rsidR="00424773" w:rsidRPr="00424773" w:rsidRDefault="00424773" w:rsidP="007F5CC1">
      <w:pPr>
        <w:pStyle w:val="Sansinterligne"/>
        <w:ind w:right="549"/>
        <w:jc w:val="both"/>
        <w:rPr>
          <w:sz w:val="8"/>
          <w:szCs w:val="8"/>
        </w:rPr>
      </w:pPr>
    </w:p>
    <w:p w:rsidR="00424773" w:rsidRPr="00794DF1" w:rsidRDefault="00424773" w:rsidP="007F5CC1">
      <w:pPr>
        <w:pStyle w:val="Sansinterligne"/>
        <w:numPr>
          <w:ilvl w:val="0"/>
          <w:numId w:val="2"/>
        </w:numPr>
        <w:ind w:right="549"/>
        <w:jc w:val="both"/>
      </w:pPr>
      <w:r w:rsidRPr="00424773">
        <w:t xml:space="preserve">La caractérisation d’un état chimique, basée sur la recherche et la mesure des concentrations </w:t>
      </w:r>
      <w:r w:rsidR="005727CB">
        <w:t>de</w:t>
      </w:r>
      <w:r w:rsidRPr="00424773">
        <w:t xml:space="preserve"> substances prioritaires </w:t>
      </w:r>
      <w:r w:rsidR="005727CB">
        <w:t>au sens de la DCE</w:t>
      </w:r>
      <w:r w:rsidRPr="00424773">
        <w:t xml:space="preserve"> ; </w:t>
      </w:r>
    </w:p>
    <w:p w:rsidR="00424773" w:rsidRPr="00424773" w:rsidRDefault="00424773" w:rsidP="007F5CC1">
      <w:pPr>
        <w:pStyle w:val="Sansinterligne"/>
        <w:numPr>
          <w:ilvl w:val="0"/>
          <w:numId w:val="2"/>
        </w:numPr>
        <w:ind w:right="549"/>
        <w:jc w:val="both"/>
      </w:pPr>
      <w:r w:rsidRPr="00424773">
        <w:t xml:space="preserve">La caractérisation d’un état écologique, basée sur un schéma d’évaluation qui intègre 3 composantes : une composante physico-chimique (mesure de l’oxygène dissous, de la température, de la turbidité et de la salinité), une composante hydromorphologique et une composante biologique. </w:t>
      </w:r>
    </w:p>
    <w:p w:rsidR="00794DF1" w:rsidRDefault="00794DF1" w:rsidP="007F5CC1">
      <w:pPr>
        <w:autoSpaceDE w:val="0"/>
        <w:autoSpaceDN w:val="0"/>
        <w:adjustRightInd w:val="0"/>
        <w:spacing w:after="0" w:line="240" w:lineRule="auto"/>
        <w:ind w:right="549"/>
        <w:rPr>
          <w:rFonts w:ascii="Times New Roman" w:hAnsi="Times New Roman" w:cs="Times New Roman"/>
          <w:sz w:val="24"/>
          <w:szCs w:val="24"/>
        </w:rPr>
      </w:pPr>
    </w:p>
    <w:p w:rsidR="00992C78" w:rsidRDefault="00992C78" w:rsidP="007F5CC1">
      <w:pPr>
        <w:autoSpaceDE w:val="0"/>
        <w:autoSpaceDN w:val="0"/>
        <w:adjustRightInd w:val="0"/>
        <w:spacing w:after="0" w:line="240" w:lineRule="auto"/>
        <w:ind w:right="549"/>
        <w:jc w:val="both"/>
        <w:rPr>
          <w:rFonts w:cstheme="minorHAnsi"/>
        </w:rPr>
      </w:pPr>
    </w:p>
    <w:p w:rsidR="00794DF1" w:rsidRDefault="00DE5F62" w:rsidP="007F5CC1">
      <w:pPr>
        <w:pStyle w:val="Sansinterligne"/>
        <w:ind w:right="549"/>
        <w:jc w:val="both"/>
        <w:rPr>
          <w:rFonts w:cstheme="minorHAnsi"/>
        </w:rPr>
      </w:pPr>
      <w:r>
        <w:t xml:space="preserve">En parallèle, d'importants efforts de recherche et de réduction des substances dangereuses (RSDE) dans les rejets aqueux ont également été menés par les exploitants industriels et les maîtres d’ouvrage des systèmes </w:t>
      </w:r>
      <w:r w:rsidR="008A19A6">
        <w:t>d’assainissement sous</w:t>
      </w:r>
      <w:r>
        <w:t xml:space="preserve"> le contrôle de l'Etat.</w:t>
      </w:r>
    </w:p>
    <w:p w:rsidR="00992C78" w:rsidRDefault="00992C78" w:rsidP="007F5CC1">
      <w:pPr>
        <w:pStyle w:val="Sansinterligne"/>
        <w:ind w:right="549"/>
        <w:jc w:val="both"/>
        <w:rPr>
          <w:rFonts w:cstheme="minorHAnsi"/>
        </w:rPr>
      </w:pPr>
    </w:p>
    <w:p w:rsidR="00992C78" w:rsidRDefault="00992C78" w:rsidP="007F5CC1">
      <w:pPr>
        <w:pStyle w:val="Sansinterligne"/>
        <w:ind w:right="549"/>
        <w:jc w:val="both"/>
        <w:rPr>
          <w:rFonts w:cstheme="minorHAnsi"/>
        </w:rPr>
      </w:pPr>
    </w:p>
    <w:p w:rsidR="00992C78" w:rsidRDefault="00992C78" w:rsidP="007F5CC1">
      <w:pPr>
        <w:pStyle w:val="Sansinterligne"/>
        <w:ind w:right="549"/>
        <w:jc w:val="both"/>
        <w:rPr>
          <w:rFonts w:cstheme="minorHAnsi"/>
        </w:rPr>
      </w:pPr>
    </w:p>
    <w:p w:rsidR="00794DF1" w:rsidRDefault="005727CB" w:rsidP="007F5CC1">
      <w:pPr>
        <w:pStyle w:val="Sansinterligne"/>
        <w:ind w:right="549"/>
        <w:jc w:val="both"/>
        <w:rPr>
          <w:rFonts w:cstheme="minorHAnsi"/>
        </w:rPr>
      </w:pPr>
      <w:r>
        <w:rPr>
          <w:rFonts w:cstheme="minorHAnsi"/>
        </w:rPr>
        <w:lastRenderedPageBreak/>
        <w:t>Si l</w:t>
      </w:r>
      <w:r w:rsidR="00794DF1" w:rsidRPr="006E51CE">
        <w:rPr>
          <w:rFonts w:cstheme="minorHAnsi"/>
        </w:rPr>
        <w:t xml:space="preserve">es analyses chimiques fournissent un aperçu des </w:t>
      </w:r>
      <w:r w:rsidR="00794DF1">
        <w:rPr>
          <w:rFonts w:cstheme="minorHAnsi"/>
        </w:rPr>
        <w:t>substances chimiques présentes (</w:t>
      </w:r>
      <w:r w:rsidR="00E542B0">
        <w:rPr>
          <w:rFonts w:cstheme="minorHAnsi"/>
        </w:rPr>
        <w:t xml:space="preserve">dans </w:t>
      </w:r>
      <w:r w:rsidR="00794DF1">
        <w:rPr>
          <w:rFonts w:cstheme="minorHAnsi"/>
        </w:rPr>
        <w:t xml:space="preserve">rejets et masses d’eau) et donc des </w:t>
      </w:r>
      <w:r w:rsidR="00794DF1" w:rsidRPr="006E51CE">
        <w:rPr>
          <w:rFonts w:cstheme="minorHAnsi"/>
        </w:rPr>
        <w:t xml:space="preserve">facteurs de stress pouvant entraîner un effet sur les écosystèmes, </w:t>
      </w:r>
      <w:r w:rsidR="00794DF1">
        <w:rPr>
          <w:rFonts w:cstheme="minorHAnsi"/>
        </w:rPr>
        <w:t>elles</w:t>
      </w:r>
      <w:r w:rsidR="00794DF1" w:rsidRPr="006E51CE">
        <w:rPr>
          <w:rFonts w:cstheme="minorHAnsi"/>
        </w:rPr>
        <w:t xml:space="preserve"> ne permettent pas à elles seules de</w:t>
      </w:r>
      <w:r w:rsidR="00794DF1">
        <w:rPr>
          <w:rFonts w:cstheme="minorHAnsi"/>
        </w:rPr>
        <w:t xml:space="preserve"> : </w:t>
      </w:r>
    </w:p>
    <w:p w:rsidR="00794DF1" w:rsidRPr="00C33A1D" w:rsidRDefault="00794DF1" w:rsidP="007F5CC1">
      <w:pPr>
        <w:pStyle w:val="Sansinterligne"/>
        <w:numPr>
          <w:ilvl w:val="0"/>
          <w:numId w:val="4"/>
        </w:numPr>
        <w:ind w:right="549"/>
        <w:jc w:val="both"/>
        <w:rPr>
          <w:b/>
          <w:bCs/>
          <w:color w:val="000000" w:themeColor="text1"/>
          <w:lang w:eastAsia="fr-FR"/>
        </w:rPr>
      </w:pPr>
      <w:r w:rsidRPr="00C33A1D">
        <w:rPr>
          <w:rFonts w:cstheme="minorHAnsi"/>
        </w:rPr>
        <w:t>Quantifier l’ensemble des substances potentiellement toxiques pour le milieu aquatique ;</w:t>
      </w:r>
    </w:p>
    <w:p w:rsidR="00794DF1" w:rsidRPr="00C33A1D" w:rsidRDefault="00794DF1" w:rsidP="007F5CC1">
      <w:pPr>
        <w:pStyle w:val="Sansinterligne"/>
        <w:numPr>
          <w:ilvl w:val="0"/>
          <w:numId w:val="4"/>
        </w:numPr>
        <w:ind w:right="549"/>
        <w:jc w:val="both"/>
        <w:rPr>
          <w:b/>
          <w:bCs/>
          <w:color w:val="000000" w:themeColor="text1"/>
          <w:lang w:eastAsia="fr-FR"/>
        </w:rPr>
      </w:pPr>
      <w:r w:rsidRPr="00C33A1D">
        <w:rPr>
          <w:rFonts w:cstheme="minorHAnsi"/>
        </w:rPr>
        <w:t xml:space="preserve">Prédire la fraction biodisponible des contaminants et donc potentiellement toxiques pour les organismes ; </w:t>
      </w:r>
    </w:p>
    <w:p w:rsidR="00794DF1" w:rsidRPr="00C33A1D" w:rsidRDefault="00794DF1" w:rsidP="007F5CC1">
      <w:pPr>
        <w:pStyle w:val="Sansinterligne"/>
        <w:numPr>
          <w:ilvl w:val="0"/>
          <w:numId w:val="4"/>
        </w:numPr>
        <w:ind w:right="549"/>
        <w:jc w:val="both"/>
        <w:rPr>
          <w:b/>
          <w:bCs/>
          <w:color w:val="000000" w:themeColor="text1"/>
          <w:lang w:eastAsia="fr-FR"/>
        </w:rPr>
      </w:pPr>
      <w:r w:rsidRPr="00C33A1D">
        <w:rPr>
          <w:rFonts w:cstheme="minorHAnsi"/>
        </w:rPr>
        <w:t xml:space="preserve">De prendre en compte </w:t>
      </w:r>
      <w:r w:rsidR="00C33A1D">
        <w:rPr>
          <w:rFonts w:cstheme="minorHAnsi"/>
        </w:rPr>
        <w:t>les effets de synergie entre l</w:t>
      </w:r>
      <w:r w:rsidRPr="00C33A1D">
        <w:rPr>
          <w:rFonts w:cstheme="minorHAnsi"/>
        </w:rPr>
        <w:t>es contaminants ;</w:t>
      </w:r>
    </w:p>
    <w:p w:rsidR="00794DF1" w:rsidRPr="00C33A1D" w:rsidRDefault="00794DF1" w:rsidP="007F5CC1">
      <w:pPr>
        <w:pStyle w:val="Sansinterligne"/>
        <w:numPr>
          <w:ilvl w:val="0"/>
          <w:numId w:val="4"/>
        </w:numPr>
        <w:ind w:right="549"/>
        <w:jc w:val="both"/>
        <w:rPr>
          <w:b/>
          <w:bCs/>
          <w:color w:val="000000" w:themeColor="text1"/>
          <w:lang w:eastAsia="fr-FR"/>
        </w:rPr>
      </w:pPr>
      <w:r w:rsidRPr="00C33A1D">
        <w:rPr>
          <w:b/>
          <w:bCs/>
          <w:color w:val="000000" w:themeColor="text1"/>
          <w:lang w:eastAsia="fr-FR"/>
        </w:rPr>
        <w:t xml:space="preserve">Et surtout de </w:t>
      </w:r>
      <w:r w:rsidRPr="00C33A1D">
        <w:rPr>
          <w:rFonts w:cstheme="minorHAnsi"/>
        </w:rPr>
        <w:t>renseigner sur les composantes spécifiques du milieu qui affectent les communautés biologiques qui jouent un rôle sur les effets toxiques in fine.</w:t>
      </w:r>
    </w:p>
    <w:p w:rsidR="00794DF1" w:rsidRPr="00BF250D" w:rsidRDefault="00794DF1" w:rsidP="007F5CC1">
      <w:pPr>
        <w:pStyle w:val="Sansinterligne"/>
        <w:ind w:right="549"/>
        <w:jc w:val="both"/>
        <w:rPr>
          <w:b/>
          <w:bCs/>
          <w:color w:val="000000" w:themeColor="text1"/>
          <w:lang w:eastAsia="fr-FR"/>
        </w:rPr>
      </w:pPr>
      <w:r>
        <w:rPr>
          <w:rFonts w:cstheme="minorHAnsi"/>
        </w:rPr>
        <w:t xml:space="preserve"> </w:t>
      </w:r>
      <w:r w:rsidRPr="00BC2C45">
        <w:rPr>
          <w:b/>
          <w:bCs/>
          <w:color w:val="000000" w:themeColor="text1"/>
          <w:lang w:eastAsia="fr-FR"/>
        </w:rPr>
        <w:br/>
        <w:t>Se pos</w:t>
      </w:r>
      <w:r>
        <w:rPr>
          <w:b/>
          <w:bCs/>
          <w:color w:val="000000" w:themeColor="text1"/>
          <w:lang w:eastAsia="fr-FR"/>
        </w:rPr>
        <w:t>e</w:t>
      </w:r>
      <w:r w:rsidRPr="00BF250D">
        <w:rPr>
          <w:b/>
          <w:bCs/>
          <w:color w:val="000000" w:themeColor="text1"/>
          <w:lang w:eastAsia="fr-FR"/>
        </w:rPr>
        <w:t xml:space="preserve">nt alors les questions de la pertinence du choix de ces </w:t>
      </w:r>
      <w:r>
        <w:rPr>
          <w:b/>
          <w:bCs/>
          <w:color w:val="000000" w:themeColor="text1"/>
          <w:lang w:eastAsia="fr-FR"/>
        </w:rPr>
        <w:t xml:space="preserve">analyses de </w:t>
      </w:r>
      <w:r w:rsidRPr="00BF250D">
        <w:rPr>
          <w:b/>
          <w:bCs/>
          <w:color w:val="000000" w:themeColor="text1"/>
          <w:lang w:eastAsia="fr-FR"/>
        </w:rPr>
        <w:t xml:space="preserve">substances en nombre toujours croissant </w:t>
      </w:r>
      <w:r>
        <w:rPr>
          <w:b/>
          <w:bCs/>
          <w:color w:val="000000" w:themeColor="text1"/>
          <w:lang w:eastAsia="fr-FR"/>
        </w:rPr>
        <w:t xml:space="preserve">au </w:t>
      </w:r>
      <w:r w:rsidRPr="00BF250D">
        <w:rPr>
          <w:b/>
          <w:bCs/>
          <w:color w:val="000000" w:themeColor="text1"/>
          <w:lang w:eastAsia="fr-FR"/>
        </w:rPr>
        <w:t xml:space="preserve">regard des nouvelles pollutions et du réel impact sur le vivant et l’environnement </w:t>
      </w:r>
      <w:r>
        <w:rPr>
          <w:b/>
          <w:bCs/>
          <w:color w:val="000000" w:themeColor="text1"/>
          <w:lang w:eastAsia="fr-FR"/>
        </w:rPr>
        <w:t xml:space="preserve">du fait </w:t>
      </w:r>
      <w:r w:rsidRPr="00BF250D">
        <w:rPr>
          <w:b/>
          <w:bCs/>
          <w:color w:val="000000" w:themeColor="text1"/>
          <w:lang w:eastAsia="fr-FR"/>
        </w:rPr>
        <w:t xml:space="preserve">des interactions possibles de ces substances chimiques.  </w:t>
      </w:r>
    </w:p>
    <w:p w:rsidR="00424773" w:rsidRDefault="00424773" w:rsidP="007F5CC1">
      <w:pPr>
        <w:pStyle w:val="Sansinterligne"/>
        <w:ind w:right="549"/>
        <w:jc w:val="both"/>
      </w:pPr>
    </w:p>
    <w:p w:rsidR="00E542B0" w:rsidRDefault="00794DF1" w:rsidP="007F5CC1">
      <w:pPr>
        <w:pStyle w:val="Sansinterligne"/>
        <w:ind w:right="549"/>
        <w:jc w:val="both"/>
        <w:rPr>
          <w:b/>
          <w:bCs/>
          <w:color w:val="000000" w:themeColor="text1"/>
          <w:lang w:eastAsia="fr-FR"/>
        </w:rPr>
      </w:pPr>
      <w:r>
        <w:rPr>
          <w:b/>
          <w:bCs/>
          <w:color w:val="000000" w:themeColor="text1"/>
          <w:lang w:eastAsia="fr-FR"/>
        </w:rPr>
        <w:t xml:space="preserve">Les nouveaux outils de biosurveillance sont des réponses possibles à ces nouvelles problématiques. </w:t>
      </w:r>
    </w:p>
    <w:p w:rsidR="00794DF1" w:rsidRPr="00B3769A" w:rsidRDefault="00794DF1" w:rsidP="007F5CC1">
      <w:pPr>
        <w:pStyle w:val="Sansinterligne"/>
        <w:ind w:right="549"/>
        <w:jc w:val="both"/>
        <w:rPr>
          <w:rFonts w:cstheme="minorHAnsi"/>
        </w:rPr>
      </w:pPr>
      <w:r w:rsidRPr="00B3769A">
        <w:t>Ces</w:t>
      </w:r>
      <w:r w:rsidRPr="00B3769A">
        <w:rPr>
          <w:rFonts w:cstheme="minorHAnsi"/>
        </w:rPr>
        <w:t xml:space="preserve"> tests biologiques/écotoxicologiques, qu’ils soient in vivo (sur organismes entiers) ou in vitro (sur lignées cellulaires), ont l’avantage de considérer l’effet de mélanges environnementaux complexes et de prendre en considération la biodisponibilité des substances, là où l’analyse physico-chimique fournit le plus souvent une mesure de la concentration totale d’une substance.</w:t>
      </w:r>
    </w:p>
    <w:p w:rsidR="00794DF1" w:rsidRDefault="00794DF1" w:rsidP="007F5CC1">
      <w:pPr>
        <w:pStyle w:val="Sansinterligne"/>
        <w:ind w:right="549"/>
        <w:jc w:val="both"/>
      </w:pPr>
    </w:p>
    <w:p w:rsidR="00424773" w:rsidRDefault="00424773" w:rsidP="007F5CC1">
      <w:pPr>
        <w:pStyle w:val="Sansinterligne"/>
        <w:ind w:right="549"/>
        <w:jc w:val="both"/>
      </w:pPr>
    </w:p>
    <w:p w:rsidR="00794DF1" w:rsidRDefault="00424773" w:rsidP="007F5CC1">
      <w:pPr>
        <w:pStyle w:val="Sansinterligne"/>
        <w:ind w:right="549"/>
        <w:jc w:val="both"/>
        <w:rPr>
          <w:b/>
        </w:rPr>
      </w:pPr>
      <w:r w:rsidRPr="00424773">
        <w:rPr>
          <w:b/>
        </w:rPr>
        <w:t xml:space="preserve">CONTEXTE ET OBJECTIFS DU QUESTIONNAIRE </w:t>
      </w:r>
      <w:r>
        <w:rPr>
          <w:b/>
        </w:rPr>
        <w:sym w:font="Wingdings 3" w:char="F082"/>
      </w:r>
    </w:p>
    <w:p w:rsidR="00794DF1" w:rsidRDefault="00794DF1" w:rsidP="007F5CC1">
      <w:pPr>
        <w:ind w:right="549"/>
      </w:pPr>
    </w:p>
    <w:p w:rsidR="004B7E6A" w:rsidRPr="004B7E6A" w:rsidRDefault="00D3358D" w:rsidP="007F5CC1">
      <w:pPr>
        <w:pStyle w:val="Sansinterligne"/>
        <w:ind w:right="549"/>
        <w:jc w:val="both"/>
        <w:rPr>
          <w:i/>
        </w:rPr>
      </w:pPr>
      <w:r w:rsidRPr="004B7E6A">
        <w:rPr>
          <w:b/>
        </w:rPr>
        <w:t>Une nouvelle métrologie émerge</w:t>
      </w:r>
      <w:r>
        <w:t xml:space="preserve"> pour mesurer (1) la qualité des masses d’eau continentale</w:t>
      </w:r>
      <w:r w:rsidR="004B7E6A">
        <w:t>s</w:t>
      </w:r>
      <w:r>
        <w:t xml:space="preserve">, </w:t>
      </w:r>
      <w:r w:rsidR="004B7E6A">
        <w:t>ou</w:t>
      </w:r>
      <w:r>
        <w:t xml:space="preserve"> (2) </w:t>
      </w:r>
      <w:r w:rsidR="008A19A6">
        <w:t>la qualité</w:t>
      </w:r>
      <w:r>
        <w:t xml:space="preserve"> des rejets industriels</w:t>
      </w:r>
      <w:r w:rsidR="004B7E6A">
        <w:t>,</w:t>
      </w:r>
      <w:r>
        <w:t xml:space="preserve"> ou urbains</w:t>
      </w:r>
      <w:r w:rsidR="004B7E6A">
        <w:t>,</w:t>
      </w:r>
      <w:r>
        <w:t xml:space="preserve"> </w:t>
      </w:r>
      <w:r w:rsidR="008A19A6">
        <w:t xml:space="preserve">et évaluer leurs impacts </w:t>
      </w:r>
      <w:r>
        <w:t xml:space="preserve">sur le milieu récepteur, </w:t>
      </w:r>
      <w:r w:rsidRPr="004B7E6A">
        <w:rPr>
          <w:b/>
        </w:rPr>
        <w:t>la biosurveillance</w:t>
      </w:r>
      <w:r w:rsidR="004B7E6A">
        <w:rPr>
          <w:b/>
        </w:rPr>
        <w:t xml:space="preserve"> </w:t>
      </w:r>
      <w:r w:rsidR="004B7E6A" w:rsidRPr="004B7E6A">
        <w:rPr>
          <w:i/>
        </w:rPr>
        <w:t>(détection de polluants dans un milieu au travers de leurs effets sur les organismes</w:t>
      </w:r>
      <w:r w:rsidR="004B7E6A">
        <w:rPr>
          <w:i/>
        </w:rPr>
        <w:t>)</w:t>
      </w:r>
      <w:r w:rsidR="004B7E6A" w:rsidRPr="004B7E6A">
        <w:rPr>
          <w:i/>
        </w:rPr>
        <w:t>.</w:t>
      </w:r>
    </w:p>
    <w:p w:rsidR="004B7E6A" w:rsidRDefault="00D3358D" w:rsidP="007F5CC1">
      <w:pPr>
        <w:pStyle w:val="Sansinterligne"/>
        <w:ind w:right="549"/>
        <w:jc w:val="both"/>
      </w:pPr>
      <w:r>
        <w:t xml:space="preserve"> </w:t>
      </w:r>
    </w:p>
    <w:p w:rsidR="00D3358D" w:rsidRDefault="00D3358D" w:rsidP="007F5CC1">
      <w:pPr>
        <w:pStyle w:val="Sansinterligne"/>
        <w:ind w:right="549"/>
        <w:jc w:val="both"/>
      </w:pPr>
      <w:r>
        <w:t xml:space="preserve">Ces bioessais intégrateurs, dont certains sont normalisés AFNOR, permettent aux acteurs de l’eau (Agences de l’eau, </w:t>
      </w:r>
      <w:r w:rsidR="008A19A6">
        <w:t>syndicats de rivières, EPCI, exploitants, maîtres d’ouvrage STEU</w:t>
      </w:r>
      <w:r>
        <w:t>, etc.) de diagnostiquer les effets</w:t>
      </w:r>
      <w:r w:rsidR="00D50922">
        <w:t>,</w:t>
      </w:r>
      <w:r>
        <w:t xml:space="preserve"> </w:t>
      </w:r>
      <w:r w:rsidR="008A19A6">
        <w:t>réels ou potentiels</w:t>
      </w:r>
      <w:r w:rsidR="00D50922">
        <w:t>,</w:t>
      </w:r>
      <w:r w:rsidR="008A19A6">
        <w:t xml:space="preserve"> </w:t>
      </w:r>
      <w:r>
        <w:t xml:space="preserve">des micropolluants présents dans le milieu récepteur et ainsi de décider si des actions de remédiation sont nécessaires ou non. Ces approches écotoxicologiques, sensibles et robustes, deviennent complémentaires par rapport aux analyses chimiques réalisées sur des prélèvements d’eau ponctuels. </w:t>
      </w:r>
    </w:p>
    <w:p w:rsidR="00D3358D" w:rsidRDefault="00D3358D" w:rsidP="007F5CC1">
      <w:pPr>
        <w:pStyle w:val="Sansinterligne"/>
        <w:ind w:right="549"/>
        <w:jc w:val="both"/>
      </w:pPr>
    </w:p>
    <w:p w:rsidR="00794DF1" w:rsidRPr="00DA4B8A" w:rsidRDefault="00794DF1" w:rsidP="007F5CC1">
      <w:pPr>
        <w:pStyle w:val="Sansinterligne"/>
        <w:ind w:right="549"/>
        <w:jc w:val="both"/>
        <w:rPr>
          <w:bCs/>
          <w:color w:val="000000" w:themeColor="text1"/>
          <w:lang w:eastAsia="fr-FR"/>
        </w:rPr>
      </w:pPr>
      <w:r w:rsidRPr="00DA4B8A">
        <w:rPr>
          <w:bCs/>
          <w:color w:val="000000" w:themeColor="text1"/>
          <w:lang w:eastAsia="fr-FR"/>
        </w:rPr>
        <w:t xml:space="preserve">Pour parvenir à construire une offre </w:t>
      </w:r>
      <w:r w:rsidR="00F46CA3">
        <w:rPr>
          <w:bCs/>
          <w:color w:val="000000" w:themeColor="text1"/>
          <w:lang w:eastAsia="fr-FR"/>
        </w:rPr>
        <w:t xml:space="preserve">de biosurveillance </w:t>
      </w:r>
      <w:r w:rsidRPr="00DA4B8A">
        <w:rPr>
          <w:bCs/>
          <w:color w:val="000000" w:themeColor="text1"/>
          <w:lang w:eastAsia="fr-FR"/>
        </w:rPr>
        <w:t>nationale robuste, économiquement viable et adap</w:t>
      </w:r>
      <w:r>
        <w:rPr>
          <w:bCs/>
          <w:color w:val="000000" w:themeColor="text1"/>
          <w:lang w:eastAsia="fr-FR"/>
        </w:rPr>
        <w:t xml:space="preserve">tée au besoin des </w:t>
      </w:r>
      <w:r w:rsidR="00F46CA3">
        <w:rPr>
          <w:bCs/>
          <w:color w:val="000000" w:themeColor="text1"/>
          <w:lang w:eastAsia="fr-FR"/>
        </w:rPr>
        <w:t>acteurs de l’eau</w:t>
      </w:r>
      <w:r w:rsidRPr="00DA4B8A">
        <w:rPr>
          <w:bCs/>
          <w:color w:val="000000" w:themeColor="text1"/>
          <w:lang w:eastAsia="fr-FR"/>
        </w:rPr>
        <w:t xml:space="preserve"> (qui pourraient </w:t>
      </w:r>
      <w:r w:rsidR="00D22D5D">
        <w:rPr>
          <w:bCs/>
          <w:color w:val="000000" w:themeColor="text1"/>
          <w:lang w:eastAsia="fr-FR"/>
        </w:rPr>
        <w:t>compléter utilement</w:t>
      </w:r>
      <w:r w:rsidRPr="00DA4B8A">
        <w:rPr>
          <w:bCs/>
          <w:color w:val="000000" w:themeColor="text1"/>
          <w:lang w:eastAsia="fr-FR"/>
        </w:rPr>
        <w:t xml:space="preserve"> </w:t>
      </w:r>
      <w:r w:rsidR="00D22D5D">
        <w:rPr>
          <w:bCs/>
          <w:color w:val="000000" w:themeColor="text1"/>
          <w:lang w:eastAsia="fr-FR"/>
        </w:rPr>
        <w:t>les</w:t>
      </w:r>
      <w:r w:rsidRPr="00DA4B8A">
        <w:rPr>
          <w:bCs/>
          <w:color w:val="000000" w:themeColor="text1"/>
          <w:lang w:eastAsia="fr-FR"/>
        </w:rPr>
        <w:t xml:space="preserve"> procédures d’analyse chimique</w:t>
      </w:r>
      <w:r>
        <w:rPr>
          <w:bCs/>
          <w:color w:val="000000" w:themeColor="text1"/>
          <w:lang w:eastAsia="fr-FR"/>
        </w:rPr>
        <w:t>), la Filière Française de l’E</w:t>
      </w:r>
      <w:r w:rsidRPr="00DA4B8A">
        <w:rPr>
          <w:bCs/>
          <w:color w:val="000000" w:themeColor="text1"/>
          <w:lang w:eastAsia="fr-FR"/>
        </w:rPr>
        <w:t xml:space="preserve">au a initié un groupe de travail qui s’inscrit dans la feuille de route </w:t>
      </w:r>
      <w:r w:rsidR="00D3358D">
        <w:rPr>
          <w:bCs/>
          <w:color w:val="000000" w:themeColor="text1"/>
          <w:lang w:eastAsia="fr-FR"/>
        </w:rPr>
        <w:t>du contrat de filière du CSF-Eau</w:t>
      </w:r>
      <w:r w:rsidRPr="00DA4B8A">
        <w:rPr>
          <w:bCs/>
          <w:color w:val="000000" w:themeColor="text1"/>
          <w:lang w:eastAsia="fr-FR"/>
        </w:rPr>
        <w:t xml:space="preserve"> signé en janvier 2019 par les secrétaires d’Etat auprès de la ministre de la Transition écologique et solidaire et  auprès du ministre de l’Économie et des Finances. </w:t>
      </w:r>
    </w:p>
    <w:p w:rsidR="00794DF1" w:rsidRPr="00794DF1" w:rsidRDefault="00794DF1" w:rsidP="007F5CC1">
      <w:pPr>
        <w:pStyle w:val="Default"/>
        <w:ind w:right="549"/>
        <w:jc w:val="both"/>
        <w:rPr>
          <w:rFonts w:asciiTheme="minorHAnsi" w:hAnsiTheme="minorHAnsi" w:cstheme="minorHAnsi"/>
          <w:color w:val="auto"/>
          <w:sz w:val="10"/>
          <w:szCs w:val="10"/>
        </w:rPr>
      </w:pPr>
    </w:p>
    <w:p w:rsidR="00794DF1" w:rsidRPr="00794DF1" w:rsidRDefault="00794DF1" w:rsidP="007F5CC1">
      <w:pPr>
        <w:pStyle w:val="Sansinterligne"/>
        <w:ind w:right="549"/>
        <w:jc w:val="both"/>
        <w:rPr>
          <w:b/>
          <w:bCs/>
          <w:color w:val="000000" w:themeColor="text1"/>
          <w:lang w:eastAsia="fr-FR"/>
        </w:rPr>
      </w:pPr>
      <w:r w:rsidRPr="00794DF1">
        <w:rPr>
          <w:b/>
          <w:bCs/>
          <w:color w:val="000000" w:themeColor="text1"/>
          <w:lang w:eastAsia="fr-FR"/>
        </w:rPr>
        <w:t>A l’issue de nombreux échanges d’experts il a été mis en évidence le besoin de rédiger un GUIDE D’USAGE dédié aux acteurs de l’eau et aux services de contrôle qui puissent répondre à leurs attentes.</w:t>
      </w:r>
    </w:p>
    <w:p w:rsidR="00794DF1" w:rsidRPr="00794DF1" w:rsidRDefault="00794DF1" w:rsidP="007F5CC1">
      <w:pPr>
        <w:pStyle w:val="Sansinterligne"/>
        <w:ind w:right="549"/>
        <w:jc w:val="both"/>
        <w:rPr>
          <w:bCs/>
          <w:color w:val="000000" w:themeColor="text1"/>
          <w:sz w:val="10"/>
          <w:szCs w:val="10"/>
          <w:lang w:eastAsia="fr-FR"/>
        </w:rPr>
      </w:pPr>
    </w:p>
    <w:p w:rsidR="00794DF1" w:rsidRPr="00794DF1" w:rsidRDefault="00794DF1" w:rsidP="007F5CC1">
      <w:pPr>
        <w:pStyle w:val="Sansinterligne"/>
        <w:ind w:right="549"/>
        <w:jc w:val="both"/>
        <w:rPr>
          <w:sz w:val="10"/>
          <w:szCs w:val="10"/>
          <w:u w:val="single"/>
        </w:rPr>
      </w:pPr>
      <w:r w:rsidRPr="00794DF1">
        <w:rPr>
          <w:bCs/>
          <w:color w:val="000000" w:themeColor="text1"/>
          <w:u w:val="single"/>
          <w:lang w:eastAsia="fr-FR"/>
        </w:rPr>
        <w:t>Pour rendre ce guide le plus opérationnel possible il a été convenu de diffuser un questionnaire dont le traitement des réponses servira à sa construction.</w:t>
      </w:r>
    </w:p>
    <w:p w:rsidR="00794DF1" w:rsidRDefault="00794DF1" w:rsidP="007F5CC1">
      <w:pPr>
        <w:pStyle w:val="Sansinterligne"/>
        <w:ind w:right="549"/>
        <w:jc w:val="both"/>
        <w:rPr>
          <w:sz w:val="10"/>
          <w:szCs w:val="10"/>
        </w:rPr>
      </w:pPr>
    </w:p>
    <w:p w:rsidR="00794DF1" w:rsidRPr="006D5927" w:rsidRDefault="00794DF1" w:rsidP="007F5CC1">
      <w:pPr>
        <w:pStyle w:val="Sansinterligne"/>
        <w:ind w:right="549"/>
        <w:jc w:val="both"/>
        <w:rPr>
          <w:sz w:val="10"/>
          <w:szCs w:val="10"/>
        </w:rPr>
      </w:pPr>
    </w:p>
    <w:p w:rsidR="00794DF1" w:rsidRDefault="00794DF1" w:rsidP="007F5CC1">
      <w:pPr>
        <w:pStyle w:val="Sansinterligne"/>
        <w:ind w:right="549"/>
        <w:jc w:val="both"/>
      </w:pPr>
      <w:r>
        <w:t>L’ASTEE et la FNCCR</w:t>
      </w:r>
      <w:r w:rsidR="00F413F7">
        <w:t>,</w:t>
      </w:r>
      <w:r>
        <w:t xml:space="preserve"> fortement concernées par ce sujet, se sont proposées en tant que membres du </w:t>
      </w:r>
      <w:r w:rsidR="00F413F7">
        <w:t>Conseil Stratégique de la Filière</w:t>
      </w:r>
      <w:r>
        <w:t xml:space="preserve"> Eau </w:t>
      </w:r>
      <w:r w:rsidR="00F413F7">
        <w:t>de</w:t>
      </w:r>
      <w:r>
        <w:t xml:space="preserve"> diffuser largement ce questionnaire auprès de leurs adhérents.</w:t>
      </w:r>
      <w:r w:rsidR="00A57E68">
        <w:t xml:space="preserve"> La FENARIVE,</w:t>
      </w:r>
      <w:r w:rsidR="00E542B0">
        <w:t xml:space="preserve"> </w:t>
      </w:r>
      <w:r w:rsidR="00160B5C">
        <w:t xml:space="preserve">le GRAIE, </w:t>
      </w:r>
      <w:r w:rsidR="00E542B0">
        <w:t xml:space="preserve">l’association </w:t>
      </w:r>
      <w:proofErr w:type="spellStart"/>
      <w:r w:rsidR="00E542B0">
        <w:t>EpE</w:t>
      </w:r>
      <w:proofErr w:type="spellEnd"/>
      <w:r w:rsidR="00E542B0">
        <w:t xml:space="preserve"> </w:t>
      </w:r>
      <w:r w:rsidR="00A57E68">
        <w:t xml:space="preserve">et AMORCE </w:t>
      </w:r>
      <w:r w:rsidR="00E542B0">
        <w:t xml:space="preserve">participent également à </w:t>
      </w:r>
      <w:r w:rsidR="003B75A7">
        <w:t>s</w:t>
      </w:r>
      <w:bookmarkStart w:id="0" w:name="_GoBack"/>
      <w:bookmarkEnd w:id="0"/>
      <w:r w:rsidR="00F413F7">
        <w:t>a</w:t>
      </w:r>
      <w:r w:rsidR="00E542B0">
        <w:t xml:space="preserve"> diffusion. </w:t>
      </w:r>
    </w:p>
    <w:p w:rsidR="00717085" w:rsidRDefault="00717085" w:rsidP="007F5CC1">
      <w:pPr>
        <w:ind w:right="549"/>
      </w:pPr>
    </w:p>
    <w:p w:rsidR="004B7E6A" w:rsidRDefault="004B7E6A" w:rsidP="00E542B0">
      <w:pPr>
        <w:pBdr>
          <w:top w:val="nil"/>
          <w:left w:val="nil"/>
          <w:bottom w:val="nil"/>
          <w:right w:val="nil"/>
          <w:between w:val="nil"/>
        </w:pBdr>
        <w:spacing w:after="0" w:line="240" w:lineRule="auto"/>
        <w:ind w:right="549"/>
      </w:pPr>
    </w:p>
    <w:sectPr w:rsidR="004B7E6A" w:rsidSect="00DD6A81">
      <w:headerReference w:type="default" r:id="rId9"/>
      <w:footerReference w:type="default" r:id="rId10"/>
      <w:pgSz w:w="11906" w:h="17338"/>
      <w:pgMar w:top="1891" w:right="840" w:bottom="1349" w:left="11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96" w:rsidRDefault="00695896" w:rsidP="00424773">
      <w:pPr>
        <w:spacing w:after="0" w:line="240" w:lineRule="auto"/>
      </w:pPr>
      <w:r>
        <w:separator/>
      </w:r>
    </w:p>
  </w:endnote>
  <w:endnote w:type="continuationSeparator" w:id="0">
    <w:p w:rsidR="00695896" w:rsidRDefault="00695896" w:rsidP="0042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25612"/>
      <w:docPartObj>
        <w:docPartGallery w:val="Page Numbers (Bottom of Page)"/>
        <w:docPartUnique/>
      </w:docPartObj>
    </w:sdtPr>
    <w:sdtEndPr/>
    <w:sdtContent>
      <w:sdt>
        <w:sdtPr>
          <w:id w:val="-1769616900"/>
          <w:docPartObj>
            <w:docPartGallery w:val="Page Numbers (Top of Page)"/>
            <w:docPartUnique/>
          </w:docPartObj>
        </w:sdtPr>
        <w:sdtEndPr/>
        <w:sdtContent>
          <w:p w:rsidR="007F5CC1" w:rsidRDefault="007F5CC1">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B75A7">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B75A7">
              <w:rPr>
                <w:b/>
                <w:bCs/>
                <w:noProof/>
              </w:rPr>
              <w:t>2</w:t>
            </w:r>
            <w:r>
              <w:rPr>
                <w:b/>
                <w:bCs/>
                <w:sz w:val="24"/>
                <w:szCs w:val="24"/>
              </w:rPr>
              <w:fldChar w:fldCharType="end"/>
            </w:r>
          </w:p>
        </w:sdtContent>
      </w:sdt>
    </w:sdtContent>
  </w:sdt>
  <w:p w:rsidR="007F5CC1" w:rsidRDefault="007F5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96" w:rsidRDefault="00695896" w:rsidP="00424773">
      <w:pPr>
        <w:spacing w:after="0" w:line="240" w:lineRule="auto"/>
      </w:pPr>
      <w:r>
        <w:separator/>
      </w:r>
    </w:p>
  </w:footnote>
  <w:footnote w:type="continuationSeparator" w:id="0">
    <w:p w:rsidR="00695896" w:rsidRDefault="00695896" w:rsidP="00424773">
      <w:pPr>
        <w:spacing w:after="0" w:line="240" w:lineRule="auto"/>
      </w:pPr>
      <w:r>
        <w:continuationSeparator/>
      </w:r>
    </w:p>
  </w:footnote>
  <w:footnote w:id="1">
    <w:p w:rsidR="00471189" w:rsidRDefault="00471189" w:rsidP="00471189">
      <w:pPr>
        <w:pStyle w:val="Sansinterligne"/>
        <w:ind w:right="549"/>
        <w:jc w:val="both"/>
        <w:rPr>
          <w:sz w:val="20"/>
          <w:szCs w:val="20"/>
        </w:rPr>
      </w:pPr>
      <w:r>
        <w:rPr>
          <w:rStyle w:val="Appelnotedebasdep"/>
        </w:rPr>
        <w:footnoteRef/>
      </w:r>
      <w:r>
        <w:t xml:space="preserve"> </w:t>
      </w:r>
      <w:r w:rsidRPr="00471189">
        <w:rPr>
          <w:b/>
          <w:bCs/>
          <w:sz w:val="20"/>
          <w:szCs w:val="20"/>
        </w:rPr>
        <w:t>Le biomonitoring, ou biosurveillance</w:t>
      </w:r>
      <w:r w:rsidRPr="00471189">
        <w:rPr>
          <w:sz w:val="20"/>
          <w:szCs w:val="20"/>
        </w:rPr>
        <w:t>, est la détection de polluants dans un milieu au travers de leurs effets sur les organismes.</w:t>
      </w:r>
    </w:p>
    <w:p w:rsidR="00471189" w:rsidRPr="00471189" w:rsidRDefault="00471189" w:rsidP="00471189">
      <w:pPr>
        <w:pStyle w:val="Sansinterligne"/>
        <w:ind w:right="549"/>
        <w:jc w:val="both"/>
        <w:rPr>
          <w:sz w:val="20"/>
          <w:szCs w:val="20"/>
        </w:rPr>
      </w:pPr>
      <w:r w:rsidRPr="00471189">
        <w:rPr>
          <w:b/>
          <w:bCs/>
          <w:sz w:val="20"/>
          <w:szCs w:val="20"/>
        </w:rPr>
        <w:t>La biosurveillance repose donc sur l'ut</w:t>
      </w:r>
      <w:r w:rsidR="00FF5978">
        <w:rPr>
          <w:b/>
          <w:bCs/>
          <w:sz w:val="20"/>
          <w:szCs w:val="20"/>
        </w:rPr>
        <w:t xml:space="preserve">ilisation de </w:t>
      </w:r>
      <w:proofErr w:type="spellStart"/>
      <w:r w:rsidR="00FF5978">
        <w:rPr>
          <w:b/>
          <w:bCs/>
          <w:sz w:val="20"/>
          <w:szCs w:val="20"/>
        </w:rPr>
        <w:t>bio-indicateurs</w:t>
      </w:r>
      <w:proofErr w:type="spellEnd"/>
      <w:r w:rsidR="00FF5978">
        <w:rPr>
          <w:b/>
          <w:bCs/>
          <w:sz w:val="20"/>
          <w:szCs w:val="20"/>
        </w:rPr>
        <w:t xml:space="preserve"> / bioessais / b</w:t>
      </w:r>
      <w:r w:rsidRPr="00471189">
        <w:rPr>
          <w:b/>
          <w:bCs/>
          <w:sz w:val="20"/>
          <w:szCs w:val="20"/>
        </w:rPr>
        <w:t xml:space="preserve">iomarqueurs </w:t>
      </w:r>
      <w:r w:rsidRPr="00471189">
        <w:rPr>
          <w:sz w:val="20"/>
          <w:szCs w:val="20"/>
        </w:rPr>
        <w:t>(sur invertébrés, sur diatomées, etc.) qui fournissent des informations sur l'état de leur milieu ainsi que sur l'incidence de la cumulation des polluants sur les organismes et écosystèmes.</w:t>
      </w:r>
    </w:p>
    <w:p w:rsidR="00471189" w:rsidRPr="00471189" w:rsidRDefault="00471189" w:rsidP="00471189">
      <w:pPr>
        <w:pStyle w:val="Sansinterligne"/>
        <w:ind w:right="549"/>
        <w:jc w:val="both"/>
        <w:rPr>
          <w:sz w:val="20"/>
          <w:szCs w:val="20"/>
        </w:rPr>
      </w:pPr>
      <w:r w:rsidRPr="00471189">
        <w:rPr>
          <w:b/>
          <w:bCs/>
          <w:sz w:val="20"/>
          <w:szCs w:val="20"/>
        </w:rPr>
        <w:t xml:space="preserve">Le terme biomarqueur </w:t>
      </w:r>
      <w:r w:rsidRPr="00471189">
        <w:rPr>
          <w:sz w:val="20"/>
          <w:szCs w:val="20"/>
        </w:rPr>
        <w:t>se réfère à tous les paramètres biochimiques, cellulaires, physiologiques ou comportementaux qui peuvent être mesurés dans les tissus ou les fluides d’un organisme ou sur l’organisme entier, pour mettre en évidence l’exposition à, ou les effets, d’un ou plusieurs contaminants (</w:t>
      </w:r>
      <w:proofErr w:type="spellStart"/>
      <w:r w:rsidRPr="00471189">
        <w:rPr>
          <w:sz w:val="20"/>
          <w:szCs w:val="20"/>
        </w:rPr>
        <w:t>Depledge</w:t>
      </w:r>
      <w:proofErr w:type="spellEnd"/>
      <w:r w:rsidRPr="00471189">
        <w:rPr>
          <w:sz w:val="20"/>
          <w:szCs w:val="20"/>
        </w:rPr>
        <w:t>, 1994)</w:t>
      </w:r>
      <w:r w:rsidR="00E542B0">
        <w:rPr>
          <w:sz w:val="20"/>
          <w:szCs w:val="20"/>
        </w:rPr>
        <w:t>.</w:t>
      </w:r>
    </w:p>
    <w:p w:rsidR="00471189" w:rsidRPr="00FA4229" w:rsidRDefault="00471189" w:rsidP="00471189">
      <w:pPr>
        <w:pStyle w:val="Sansinterligne"/>
        <w:ind w:right="549"/>
        <w:jc w:val="both"/>
      </w:pPr>
    </w:p>
    <w:p w:rsidR="00471189" w:rsidRDefault="0047118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73" w:rsidRPr="00471189" w:rsidRDefault="00424773" w:rsidP="00471189">
    <w:pPr>
      <w:pStyle w:val="En-tte"/>
      <w:tabs>
        <w:tab w:val="clear" w:pos="9072"/>
        <w:tab w:val="right" w:pos="9781"/>
      </w:tabs>
      <w:rPr>
        <w:sz w:val="18"/>
        <w:szCs w:val="18"/>
        <w:u w:val="single"/>
      </w:rPr>
    </w:pPr>
    <w:r>
      <w:rPr>
        <w:noProof/>
        <w:lang w:eastAsia="fr-FR"/>
      </w:rPr>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1560505" cy="292100"/>
          <wp:effectExtent l="0" t="0" r="1905" b="0"/>
          <wp:wrapThrough wrapText="bothSides">
            <wp:wrapPolygon edited="0">
              <wp:start x="0" y="0"/>
              <wp:lineTo x="0" y="19722"/>
              <wp:lineTo x="21363" y="19722"/>
              <wp:lineTo x="21363" y="0"/>
              <wp:lineTo x="0" y="0"/>
            </wp:wrapPolygon>
          </wp:wrapThrough>
          <wp:docPr id="2" name="Picture 2" descr="Logo Filiere Francaise de l 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 Filiere Francaise de l Ea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0505" cy="292100"/>
                  </a:xfrm>
                  <a:prstGeom prst="rect">
                    <a:avLst/>
                  </a:prstGeom>
                  <a:noFill/>
                  <a:ln>
                    <a:noFill/>
                  </a:ln>
                  <a:extLst/>
                </pic:spPr>
              </pic:pic>
            </a:graphicData>
          </a:graphic>
        </wp:anchor>
      </w:drawing>
    </w:r>
    <w:r w:rsidR="00471189">
      <w:t xml:space="preserve">                                       </w:t>
    </w:r>
    <w:r w:rsidR="00471189" w:rsidRPr="00471189">
      <w:rPr>
        <w:sz w:val="18"/>
        <w:szCs w:val="18"/>
        <w:u w:val="single"/>
      </w:rPr>
      <w:t>« </w:t>
    </w:r>
    <w:r w:rsidR="00471189" w:rsidRPr="00471189">
      <w:rPr>
        <w:sz w:val="18"/>
        <w:szCs w:val="18"/>
        <w:u w:val="single"/>
      </w:rPr>
      <w:tab/>
      <w:t>Questionnaire Biosurveillance » dans le cadre du Contrat de Filière Eau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40120"/>
    <w:multiLevelType w:val="hybridMultilevel"/>
    <w:tmpl w:val="890AAE56"/>
    <w:lvl w:ilvl="0" w:tplc="DD103902">
      <w:numFmt w:val="bullet"/>
      <w:lvlText w:val="-"/>
      <w:lvlJc w:val="left"/>
      <w:pPr>
        <w:ind w:left="1068" w:hanging="360"/>
      </w:pPr>
      <w:rPr>
        <w:rFonts w:ascii="Calibri" w:eastAsiaTheme="minorHAnsi" w:hAnsi="Calibri" w:cstheme="minorHAnsi"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8E10078"/>
    <w:multiLevelType w:val="hybridMultilevel"/>
    <w:tmpl w:val="F8266E04"/>
    <w:lvl w:ilvl="0" w:tplc="F0E638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2642B0"/>
    <w:multiLevelType w:val="hybridMultilevel"/>
    <w:tmpl w:val="47FCD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6A7CF9"/>
    <w:multiLevelType w:val="hybridMultilevel"/>
    <w:tmpl w:val="48DA21CC"/>
    <w:lvl w:ilvl="0" w:tplc="040C0003">
      <w:start w:val="1"/>
      <w:numFmt w:val="bullet"/>
      <w:lvlText w:val="o"/>
      <w:lvlJc w:val="left"/>
      <w:pPr>
        <w:ind w:left="720" w:hanging="360"/>
      </w:pPr>
      <w:rPr>
        <w:rFonts w:ascii="Courier New" w:hAnsi="Courier New" w:cs="Courier New"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0235DA"/>
    <w:multiLevelType w:val="hybridMultilevel"/>
    <w:tmpl w:val="599C4452"/>
    <w:lvl w:ilvl="0" w:tplc="84820E4E">
      <w:start w:val="1"/>
      <w:numFmt w:val="bullet"/>
      <w:lvlText w:val="•"/>
      <w:lvlJc w:val="left"/>
      <w:pPr>
        <w:tabs>
          <w:tab w:val="num" w:pos="720"/>
        </w:tabs>
        <w:ind w:left="720" w:hanging="360"/>
      </w:pPr>
      <w:rPr>
        <w:rFonts w:ascii="Arial" w:hAnsi="Arial" w:hint="default"/>
      </w:rPr>
    </w:lvl>
    <w:lvl w:ilvl="1" w:tplc="15CEE36E" w:tentative="1">
      <w:start w:val="1"/>
      <w:numFmt w:val="bullet"/>
      <w:lvlText w:val="•"/>
      <w:lvlJc w:val="left"/>
      <w:pPr>
        <w:tabs>
          <w:tab w:val="num" w:pos="1440"/>
        </w:tabs>
        <w:ind w:left="1440" w:hanging="360"/>
      </w:pPr>
      <w:rPr>
        <w:rFonts w:ascii="Arial" w:hAnsi="Arial" w:hint="default"/>
      </w:rPr>
    </w:lvl>
    <w:lvl w:ilvl="2" w:tplc="A83A2B20" w:tentative="1">
      <w:start w:val="1"/>
      <w:numFmt w:val="bullet"/>
      <w:lvlText w:val="•"/>
      <w:lvlJc w:val="left"/>
      <w:pPr>
        <w:tabs>
          <w:tab w:val="num" w:pos="2160"/>
        </w:tabs>
        <w:ind w:left="2160" w:hanging="360"/>
      </w:pPr>
      <w:rPr>
        <w:rFonts w:ascii="Arial" w:hAnsi="Arial" w:hint="default"/>
      </w:rPr>
    </w:lvl>
    <w:lvl w:ilvl="3" w:tplc="BCA497D8" w:tentative="1">
      <w:start w:val="1"/>
      <w:numFmt w:val="bullet"/>
      <w:lvlText w:val="•"/>
      <w:lvlJc w:val="left"/>
      <w:pPr>
        <w:tabs>
          <w:tab w:val="num" w:pos="2880"/>
        </w:tabs>
        <w:ind w:left="2880" w:hanging="360"/>
      </w:pPr>
      <w:rPr>
        <w:rFonts w:ascii="Arial" w:hAnsi="Arial" w:hint="default"/>
      </w:rPr>
    </w:lvl>
    <w:lvl w:ilvl="4" w:tplc="D57A4044" w:tentative="1">
      <w:start w:val="1"/>
      <w:numFmt w:val="bullet"/>
      <w:lvlText w:val="•"/>
      <w:lvlJc w:val="left"/>
      <w:pPr>
        <w:tabs>
          <w:tab w:val="num" w:pos="3600"/>
        </w:tabs>
        <w:ind w:left="3600" w:hanging="360"/>
      </w:pPr>
      <w:rPr>
        <w:rFonts w:ascii="Arial" w:hAnsi="Arial" w:hint="default"/>
      </w:rPr>
    </w:lvl>
    <w:lvl w:ilvl="5" w:tplc="EDDEE650" w:tentative="1">
      <w:start w:val="1"/>
      <w:numFmt w:val="bullet"/>
      <w:lvlText w:val="•"/>
      <w:lvlJc w:val="left"/>
      <w:pPr>
        <w:tabs>
          <w:tab w:val="num" w:pos="4320"/>
        </w:tabs>
        <w:ind w:left="4320" w:hanging="360"/>
      </w:pPr>
      <w:rPr>
        <w:rFonts w:ascii="Arial" w:hAnsi="Arial" w:hint="default"/>
      </w:rPr>
    </w:lvl>
    <w:lvl w:ilvl="6" w:tplc="1F4E4A30" w:tentative="1">
      <w:start w:val="1"/>
      <w:numFmt w:val="bullet"/>
      <w:lvlText w:val="•"/>
      <w:lvlJc w:val="left"/>
      <w:pPr>
        <w:tabs>
          <w:tab w:val="num" w:pos="5040"/>
        </w:tabs>
        <w:ind w:left="5040" w:hanging="360"/>
      </w:pPr>
      <w:rPr>
        <w:rFonts w:ascii="Arial" w:hAnsi="Arial" w:hint="default"/>
      </w:rPr>
    </w:lvl>
    <w:lvl w:ilvl="7" w:tplc="66E8480A" w:tentative="1">
      <w:start w:val="1"/>
      <w:numFmt w:val="bullet"/>
      <w:lvlText w:val="•"/>
      <w:lvlJc w:val="left"/>
      <w:pPr>
        <w:tabs>
          <w:tab w:val="num" w:pos="5760"/>
        </w:tabs>
        <w:ind w:left="5760" w:hanging="360"/>
      </w:pPr>
      <w:rPr>
        <w:rFonts w:ascii="Arial" w:hAnsi="Arial" w:hint="default"/>
      </w:rPr>
    </w:lvl>
    <w:lvl w:ilvl="8" w:tplc="2D7AF6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487D97"/>
    <w:multiLevelType w:val="hybridMultilevel"/>
    <w:tmpl w:val="969E91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F600C74"/>
    <w:multiLevelType w:val="multilevel"/>
    <w:tmpl w:val="02BA11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E804638"/>
    <w:multiLevelType w:val="hybridMultilevel"/>
    <w:tmpl w:val="18908F6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9C"/>
    <w:rsid w:val="000173C2"/>
    <w:rsid w:val="000355FC"/>
    <w:rsid w:val="0008106B"/>
    <w:rsid w:val="000862BE"/>
    <w:rsid w:val="000E3022"/>
    <w:rsid w:val="00160B5C"/>
    <w:rsid w:val="00184CB4"/>
    <w:rsid w:val="001B3BAC"/>
    <w:rsid w:val="001B7179"/>
    <w:rsid w:val="0022109C"/>
    <w:rsid w:val="00251823"/>
    <w:rsid w:val="00257083"/>
    <w:rsid w:val="002D43AA"/>
    <w:rsid w:val="003A408E"/>
    <w:rsid w:val="003B75A7"/>
    <w:rsid w:val="003C09FC"/>
    <w:rsid w:val="00407B9F"/>
    <w:rsid w:val="00424773"/>
    <w:rsid w:val="00471189"/>
    <w:rsid w:val="004B7E6A"/>
    <w:rsid w:val="005727CB"/>
    <w:rsid w:val="005B37E4"/>
    <w:rsid w:val="0061705C"/>
    <w:rsid w:val="00626817"/>
    <w:rsid w:val="00695896"/>
    <w:rsid w:val="00717085"/>
    <w:rsid w:val="0079295C"/>
    <w:rsid w:val="00794DF1"/>
    <w:rsid w:val="007E158C"/>
    <w:rsid w:val="007F5CC1"/>
    <w:rsid w:val="00837939"/>
    <w:rsid w:val="008A19A6"/>
    <w:rsid w:val="00915A68"/>
    <w:rsid w:val="00992C78"/>
    <w:rsid w:val="00A42345"/>
    <w:rsid w:val="00A57E68"/>
    <w:rsid w:val="00B11B9A"/>
    <w:rsid w:val="00B1646E"/>
    <w:rsid w:val="00B94E15"/>
    <w:rsid w:val="00C33A1D"/>
    <w:rsid w:val="00C53AAA"/>
    <w:rsid w:val="00C65FA9"/>
    <w:rsid w:val="00D22D5D"/>
    <w:rsid w:val="00D3358D"/>
    <w:rsid w:val="00D50922"/>
    <w:rsid w:val="00D826CA"/>
    <w:rsid w:val="00DE5F62"/>
    <w:rsid w:val="00E542B0"/>
    <w:rsid w:val="00E758F2"/>
    <w:rsid w:val="00ED7FD3"/>
    <w:rsid w:val="00F3049B"/>
    <w:rsid w:val="00F413F7"/>
    <w:rsid w:val="00F46CA3"/>
    <w:rsid w:val="00FF59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A35E"/>
  <w15:chartTrackingRefBased/>
  <w15:docId w15:val="{95844993-02CE-49D8-B790-C61D97AC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24773"/>
    <w:pPr>
      <w:autoSpaceDE w:val="0"/>
      <w:autoSpaceDN w:val="0"/>
      <w:adjustRightInd w:val="0"/>
      <w:spacing w:after="0" w:line="240" w:lineRule="auto"/>
    </w:pPr>
    <w:rPr>
      <w:rFonts w:ascii="Arial" w:hAnsi="Arial" w:cs="Arial"/>
      <w:color w:val="000000"/>
      <w:sz w:val="24"/>
      <w:szCs w:val="24"/>
    </w:rPr>
  </w:style>
  <w:style w:type="paragraph" w:styleId="Sansinterligne">
    <w:name w:val="No Spacing"/>
    <w:uiPriority w:val="1"/>
    <w:qFormat/>
    <w:rsid w:val="00424773"/>
    <w:pPr>
      <w:spacing w:after="0" w:line="240" w:lineRule="auto"/>
    </w:pPr>
  </w:style>
  <w:style w:type="character" w:styleId="Marquedecommentaire">
    <w:name w:val="annotation reference"/>
    <w:basedOn w:val="Policepardfaut"/>
    <w:uiPriority w:val="99"/>
    <w:semiHidden/>
    <w:unhideWhenUsed/>
    <w:rsid w:val="00424773"/>
    <w:rPr>
      <w:sz w:val="16"/>
      <w:szCs w:val="16"/>
    </w:rPr>
  </w:style>
  <w:style w:type="paragraph" w:styleId="Commentaire">
    <w:name w:val="annotation text"/>
    <w:basedOn w:val="Normal"/>
    <w:link w:val="CommentaireCar"/>
    <w:uiPriority w:val="99"/>
    <w:semiHidden/>
    <w:unhideWhenUsed/>
    <w:rsid w:val="00424773"/>
    <w:pPr>
      <w:spacing w:line="240" w:lineRule="auto"/>
    </w:pPr>
    <w:rPr>
      <w:sz w:val="20"/>
      <w:szCs w:val="20"/>
    </w:rPr>
  </w:style>
  <w:style w:type="character" w:customStyle="1" w:styleId="CommentaireCar">
    <w:name w:val="Commentaire Car"/>
    <w:basedOn w:val="Policepardfaut"/>
    <w:link w:val="Commentaire"/>
    <w:uiPriority w:val="99"/>
    <w:semiHidden/>
    <w:rsid w:val="00424773"/>
    <w:rPr>
      <w:sz w:val="20"/>
      <w:szCs w:val="20"/>
    </w:rPr>
  </w:style>
  <w:style w:type="paragraph" w:styleId="Textedebulles">
    <w:name w:val="Balloon Text"/>
    <w:basedOn w:val="Normal"/>
    <w:link w:val="TextedebullesCar"/>
    <w:uiPriority w:val="99"/>
    <w:semiHidden/>
    <w:unhideWhenUsed/>
    <w:rsid w:val="004247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4773"/>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424773"/>
    <w:rPr>
      <w:b/>
      <w:bCs/>
    </w:rPr>
  </w:style>
  <w:style w:type="character" w:customStyle="1" w:styleId="ObjetducommentaireCar">
    <w:name w:val="Objet du commentaire Car"/>
    <w:basedOn w:val="CommentaireCar"/>
    <w:link w:val="Objetducommentaire"/>
    <w:uiPriority w:val="99"/>
    <w:semiHidden/>
    <w:rsid w:val="00424773"/>
    <w:rPr>
      <w:b/>
      <w:bCs/>
      <w:sz w:val="20"/>
      <w:szCs w:val="20"/>
    </w:rPr>
  </w:style>
  <w:style w:type="paragraph" w:styleId="En-tte">
    <w:name w:val="header"/>
    <w:basedOn w:val="Normal"/>
    <w:link w:val="En-tteCar"/>
    <w:uiPriority w:val="99"/>
    <w:unhideWhenUsed/>
    <w:rsid w:val="00424773"/>
    <w:pPr>
      <w:tabs>
        <w:tab w:val="center" w:pos="4536"/>
        <w:tab w:val="right" w:pos="9072"/>
      </w:tabs>
      <w:spacing w:after="0" w:line="240" w:lineRule="auto"/>
    </w:pPr>
  </w:style>
  <w:style w:type="character" w:customStyle="1" w:styleId="En-tteCar">
    <w:name w:val="En-tête Car"/>
    <w:basedOn w:val="Policepardfaut"/>
    <w:link w:val="En-tte"/>
    <w:uiPriority w:val="99"/>
    <w:rsid w:val="00424773"/>
  </w:style>
  <w:style w:type="paragraph" w:styleId="Pieddepage">
    <w:name w:val="footer"/>
    <w:basedOn w:val="Normal"/>
    <w:link w:val="PieddepageCar"/>
    <w:uiPriority w:val="99"/>
    <w:unhideWhenUsed/>
    <w:rsid w:val="004247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4773"/>
  </w:style>
  <w:style w:type="paragraph" w:styleId="Paragraphedeliste">
    <w:name w:val="List Paragraph"/>
    <w:basedOn w:val="Normal"/>
    <w:uiPriority w:val="34"/>
    <w:qFormat/>
    <w:rsid w:val="00794DF1"/>
    <w:pPr>
      <w:ind w:left="720"/>
      <w:contextualSpacing/>
    </w:pPr>
  </w:style>
  <w:style w:type="paragraph" w:styleId="Notedebasdepage">
    <w:name w:val="footnote text"/>
    <w:basedOn w:val="Normal"/>
    <w:link w:val="NotedebasdepageCar"/>
    <w:uiPriority w:val="99"/>
    <w:semiHidden/>
    <w:unhideWhenUsed/>
    <w:rsid w:val="004711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71189"/>
    <w:rPr>
      <w:sz w:val="20"/>
      <w:szCs w:val="20"/>
    </w:rPr>
  </w:style>
  <w:style w:type="character" w:styleId="Appelnotedebasdep">
    <w:name w:val="footnote reference"/>
    <w:basedOn w:val="Policepardfaut"/>
    <w:uiPriority w:val="99"/>
    <w:semiHidden/>
    <w:unhideWhenUsed/>
    <w:rsid w:val="00471189"/>
    <w:rPr>
      <w:vertAlign w:val="superscript"/>
    </w:rPr>
  </w:style>
  <w:style w:type="paragraph" w:styleId="Rvision">
    <w:name w:val="Revision"/>
    <w:hidden/>
    <w:uiPriority w:val="99"/>
    <w:semiHidden/>
    <w:rsid w:val="00DE5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66E9-B938-42FC-B26E-30A3A751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743</Words>
  <Characters>4089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Viviani</dc:creator>
  <cp:keywords/>
  <dc:description/>
  <cp:lastModifiedBy>Laurent Viviani</cp:lastModifiedBy>
  <cp:revision>27</cp:revision>
  <dcterms:created xsi:type="dcterms:W3CDTF">2019-12-02T08:21:00Z</dcterms:created>
  <dcterms:modified xsi:type="dcterms:W3CDTF">2020-02-05T18:00:00Z</dcterms:modified>
</cp:coreProperties>
</file>