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3" w:type="dxa"/>
        <w:jc w:val="center"/>
        <w:tblLook w:val="04A0" w:firstRow="1" w:lastRow="0" w:firstColumn="1" w:lastColumn="0" w:noHBand="0" w:noVBand="1"/>
      </w:tblPr>
      <w:tblGrid>
        <w:gridCol w:w="4896"/>
        <w:gridCol w:w="4897"/>
      </w:tblGrid>
      <w:tr w:rsidR="00086FB1" w:rsidTr="00086FB1">
        <w:trPr>
          <w:cantSplit/>
          <w:trHeight w:val="1265"/>
          <w:jc w:val="center"/>
        </w:trPr>
        <w:tc>
          <w:tcPr>
            <w:tcW w:w="9793" w:type="dxa"/>
            <w:gridSpan w:val="2"/>
            <w:hideMark/>
          </w:tcPr>
          <w:p w:rsidR="00086FB1" w:rsidRDefault="00086FB1">
            <w:pPr>
              <w:pStyle w:val="En-tte"/>
              <w:tabs>
                <w:tab w:val="left" w:pos="708"/>
              </w:tabs>
              <w:ind w:right="96"/>
              <w:jc w:val="center"/>
            </w:pPr>
            <w:r>
              <w:rPr>
                <w:rFonts w:asciiTheme="minorHAnsi" w:eastAsiaTheme="minorHAnsi" w:hAnsiTheme="minorHAnsi" w:cstheme="minorBidi"/>
                <w:noProof/>
                <w:lang w:eastAsia="en-US"/>
              </w:rPr>
              <w:drawing>
                <wp:inline distT="0" distB="0" distL="0" distR="0">
                  <wp:extent cx="2071370" cy="1604645"/>
                  <wp:effectExtent l="0" t="0" r="0" b="0"/>
                  <wp:docPr id="3" name="Image 3" descr="/var/folders/_k/wcchrxyj0_30f9d5b6yfj6kw0000gp/T/com.microsoft.Word/Content.MSO/591FD2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k/wcchrxyj0_30f9d5b6yfj6kw0000gp/T/com.microsoft.Word/Content.MSO/591FD25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1370" cy="1604645"/>
                          </a:xfrm>
                          <a:prstGeom prst="rect">
                            <a:avLst/>
                          </a:prstGeom>
                          <a:noFill/>
                          <a:ln>
                            <a:noFill/>
                          </a:ln>
                        </pic:spPr>
                      </pic:pic>
                    </a:graphicData>
                  </a:graphic>
                </wp:inline>
              </w:drawing>
            </w:r>
            <w:r>
              <w:rPr>
                <w:rFonts w:ascii="Arial" w:hAnsi="Arial" w:cs="Arial"/>
                <w:iCs/>
                <w:color w:val="003366"/>
                <w:sz w:val="22"/>
                <w:szCs w:val="22"/>
              </w:rPr>
              <w:t> </w:t>
            </w:r>
          </w:p>
        </w:tc>
      </w:tr>
      <w:tr w:rsidR="00086FB1" w:rsidTr="00086FB1">
        <w:trPr>
          <w:cantSplit/>
          <w:jc w:val="center"/>
        </w:trPr>
        <w:tc>
          <w:tcPr>
            <w:tcW w:w="4896" w:type="dxa"/>
            <w:hideMark/>
          </w:tcPr>
          <w:p w:rsidR="00086FB1" w:rsidRDefault="00086FB1">
            <w:pPr>
              <w:spacing w:after="0" w:line="240" w:lineRule="auto"/>
              <w:jc w:val="both"/>
            </w:pPr>
            <w:r>
              <w:rPr>
                <w:rStyle w:val="lev"/>
                <w:rFonts w:ascii="Arial" w:hAnsi="Arial" w:cs="Arial"/>
                <w:bCs w:val="0"/>
                <w:sz w:val="20"/>
                <w:szCs w:val="20"/>
              </w:rPr>
              <w:t> </w:t>
            </w:r>
          </w:p>
        </w:tc>
        <w:tc>
          <w:tcPr>
            <w:tcW w:w="4897" w:type="dxa"/>
            <w:hideMark/>
          </w:tcPr>
          <w:p w:rsidR="00086FB1" w:rsidRDefault="00086FB1">
            <w:pPr>
              <w:pStyle w:val="Pieddepage"/>
              <w:spacing w:line="440" w:lineRule="exact"/>
              <w:jc w:val="right"/>
            </w:pPr>
            <w:r>
              <w:rPr>
                <w:rFonts w:ascii="Arial" w:hAnsi="Arial" w:cs="Arial"/>
                <w:iCs/>
                <w:sz w:val="20"/>
                <w:szCs w:val="20"/>
              </w:rPr>
              <w:t>Paris, le 23 mars 2020</w:t>
            </w:r>
          </w:p>
        </w:tc>
      </w:tr>
      <w:tr w:rsidR="00086FB1" w:rsidTr="00086FB1">
        <w:trPr>
          <w:cantSplit/>
          <w:trHeight w:val="308"/>
          <w:jc w:val="center"/>
        </w:trPr>
        <w:tc>
          <w:tcPr>
            <w:tcW w:w="9793" w:type="dxa"/>
            <w:gridSpan w:val="2"/>
            <w:hideMark/>
          </w:tcPr>
          <w:p w:rsidR="00086FB1" w:rsidRDefault="00086FB1">
            <w:pPr>
              <w:pStyle w:val="Pieddepage"/>
              <w:spacing w:line="440" w:lineRule="exact"/>
              <w:jc w:val="center"/>
            </w:pPr>
            <w:r>
              <w:rPr>
                <w:rStyle w:val="lev"/>
                <w:rFonts w:ascii="Arial" w:hAnsi="Arial" w:cs="Arial"/>
                <w:bCs w:val="0"/>
                <w:color w:val="808080"/>
                <w:sz w:val="26"/>
                <w:szCs w:val="26"/>
              </w:rPr>
              <w:t> </w:t>
            </w:r>
          </w:p>
        </w:tc>
      </w:tr>
      <w:tr w:rsidR="00086FB1" w:rsidTr="00086FB1">
        <w:trPr>
          <w:cantSplit/>
          <w:jc w:val="center"/>
        </w:trPr>
        <w:tc>
          <w:tcPr>
            <w:tcW w:w="9793" w:type="dxa"/>
            <w:gridSpan w:val="2"/>
            <w:hideMark/>
          </w:tcPr>
          <w:p w:rsidR="00086FB1" w:rsidRDefault="00086FB1">
            <w:pPr>
              <w:pStyle w:val="Pieddepage"/>
              <w:spacing w:line="440" w:lineRule="exact"/>
              <w:jc w:val="center"/>
            </w:pPr>
            <w:r>
              <w:rPr>
                <w:rStyle w:val="lev"/>
                <w:rFonts w:ascii="Arial" w:hAnsi="Arial" w:cs="Arial"/>
                <w:bCs w:val="0"/>
                <w:color w:val="808080"/>
                <w:sz w:val="26"/>
                <w:szCs w:val="26"/>
              </w:rPr>
              <w:t>Communiqué de presse</w:t>
            </w:r>
          </w:p>
        </w:tc>
      </w:tr>
      <w:tr w:rsidR="00086FB1" w:rsidTr="00086FB1">
        <w:trPr>
          <w:cantSplit/>
          <w:jc w:val="center"/>
        </w:trPr>
        <w:tc>
          <w:tcPr>
            <w:tcW w:w="9793" w:type="dxa"/>
            <w:gridSpan w:val="2"/>
            <w:hideMark/>
          </w:tcPr>
          <w:p w:rsidR="00086FB1" w:rsidRDefault="00086FB1">
            <w:pPr>
              <w:spacing w:after="0" w:line="240" w:lineRule="auto"/>
              <w:jc w:val="center"/>
            </w:pPr>
            <w:r>
              <w:rPr>
                <w:rStyle w:val="lev"/>
                <w:rFonts w:ascii="Arial" w:eastAsia="Times New Roman" w:hAnsi="Arial" w:cs="Arial"/>
                <w:color w:val="99CC00"/>
                <w:sz w:val="24"/>
                <w:szCs w:val="24"/>
                <w:lang w:eastAsia="fr-FR"/>
              </w:rPr>
              <w:t>______________________</w:t>
            </w:r>
          </w:p>
          <w:p w:rsidR="00086FB1" w:rsidRDefault="00086FB1">
            <w:pPr>
              <w:pStyle w:val="En-tte"/>
              <w:tabs>
                <w:tab w:val="left" w:pos="708"/>
              </w:tabs>
              <w:ind w:right="96"/>
              <w:jc w:val="right"/>
            </w:pPr>
            <w:r>
              <w:rPr>
                <w:rStyle w:val="Accentuation"/>
                <w:rFonts w:ascii="Arial" w:hAnsi="Arial" w:cs="Arial"/>
                <w:sz w:val="18"/>
                <w:szCs w:val="18"/>
              </w:rPr>
              <w:t> </w:t>
            </w:r>
          </w:p>
        </w:tc>
      </w:tr>
      <w:tr w:rsidR="00086FB1" w:rsidTr="00086FB1">
        <w:trPr>
          <w:cantSplit/>
          <w:trHeight w:val="332"/>
          <w:jc w:val="center"/>
        </w:trPr>
        <w:tc>
          <w:tcPr>
            <w:tcW w:w="9793" w:type="dxa"/>
            <w:gridSpan w:val="2"/>
            <w:hideMark/>
          </w:tcPr>
          <w:p w:rsidR="00086FB1" w:rsidRDefault="00086FB1">
            <w:pPr>
              <w:pStyle w:val="En-tte"/>
              <w:tabs>
                <w:tab w:val="left" w:pos="708"/>
              </w:tabs>
              <w:ind w:right="96"/>
              <w:jc w:val="right"/>
            </w:pPr>
            <w:r>
              <w:rPr>
                <w:rFonts w:ascii="Arial" w:hAnsi="Arial" w:cs="Arial"/>
                <w:iCs/>
                <w:color w:val="255769"/>
                <w:sz w:val="22"/>
                <w:szCs w:val="22"/>
              </w:rPr>
              <w:t> </w:t>
            </w:r>
          </w:p>
        </w:tc>
      </w:tr>
      <w:tr w:rsidR="00086FB1" w:rsidTr="00086FB1">
        <w:trPr>
          <w:cantSplit/>
          <w:jc w:val="center"/>
        </w:trPr>
        <w:tc>
          <w:tcPr>
            <w:tcW w:w="9793" w:type="dxa"/>
            <w:gridSpan w:val="2"/>
            <w:hideMark/>
          </w:tcPr>
          <w:p w:rsidR="00086FB1" w:rsidRDefault="00086FB1">
            <w:pPr>
              <w:pStyle w:val="En-tte"/>
              <w:tabs>
                <w:tab w:val="left" w:pos="708"/>
              </w:tabs>
              <w:ind w:right="96"/>
              <w:jc w:val="center"/>
            </w:pPr>
            <w:r>
              <w:rPr>
                <w:rStyle w:val="lev"/>
                <w:rFonts w:ascii="Arial" w:hAnsi="Arial" w:cs="Arial"/>
                <w:sz w:val="26"/>
                <w:szCs w:val="26"/>
              </w:rPr>
              <w:t xml:space="preserve">Les centres de contrôle technique des véhicules sont autorisés à rester ouverts. Des délais sont toutefois accordés pour réaliser les contrôles.  </w:t>
            </w:r>
          </w:p>
          <w:p w:rsidR="00086FB1" w:rsidRDefault="00086FB1">
            <w:pPr>
              <w:pStyle w:val="En-tte"/>
              <w:tabs>
                <w:tab w:val="left" w:pos="708"/>
              </w:tabs>
              <w:ind w:right="96"/>
              <w:jc w:val="center"/>
            </w:pPr>
            <w:r>
              <w:rPr>
                <w:rStyle w:val="lev"/>
                <w:rFonts w:ascii="Arial" w:hAnsi="Arial" w:cs="Arial"/>
                <w:sz w:val="26"/>
                <w:szCs w:val="26"/>
              </w:rPr>
              <w:t xml:space="preserve"> </w:t>
            </w:r>
          </w:p>
        </w:tc>
      </w:tr>
      <w:tr w:rsidR="00086FB1" w:rsidTr="00086FB1">
        <w:trPr>
          <w:jc w:val="center"/>
        </w:trPr>
        <w:tc>
          <w:tcPr>
            <w:tcW w:w="9793" w:type="dxa"/>
            <w:gridSpan w:val="2"/>
            <w:hideMark/>
          </w:tcPr>
          <w:p w:rsidR="00086FB1" w:rsidRDefault="00086FB1">
            <w:pPr>
              <w:pStyle w:val="Pieddepage"/>
              <w:spacing w:line="336" w:lineRule="exact"/>
            </w:pPr>
            <w:r>
              <w:rPr>
                <w:rStyle w:val="lev"/>
                <w:rFonts w:ascii="Arial" w:hAnsi="Arial" w:cs="Arial"/>
                <w:sz w:val="22"/>
                <w:szCs w:val="22"/>
              </w:rPr>
              <w:t> </w:t>
            </w:r>
          </w:p>
        </w:tc>
      </w:tr>
      <w:tr w:rsidR="00086FB1" w:rsidTr="00086FB1">
        <w:trPr>
          <w:jc w:val="center"/>
        </w:trPr>
        <w:tc>
          <w:tcPr>
            <w:tcW w:w="9793" w:type="dxa"/>
            <w:gridSpan w:val="2"/>
            <w:hideMark/>
          </w:tcPr>
          <w:p w:rsidR="00086FB1" w:rsidRDefault="00086FB1">
            <w:pPr>
              <w:spacing w:after="0" w:line="240" w:lineRule="auto"/>
              <w:jc w:val="both"/>
            </w:pPr>
            <w:r>
              <w:rPr>
                <w:rStyle w:val="lev"/>
                <w:rFonts w:ascii="Arial" w:eastAsia="Times New Roman" w:hAnsi="Arial" w:cs="Arial"/>
                <w:color w:val="000000"/>
                <w:lang w:eastAsia="fr-FR"/>
              </w:rPr>
              <w:t xml:space="preserve">Le contrôle technique contribue très fortement à la sécurité routière des véhicules. </w:t>
            </w:r>
            <w:r>
              <w:rPr>
                <w:rStyle w:val="lev"/>
                <w:rFonts w:ascii="Arial" w:hAnsi="Arial" w:cs="Arial"/>
                <w:color w:val="000000"/>
                <w:lang w:eastAsia="fr-FR"/>
              </w:rPr>
              <w:t xml:space="preserve">La ministre de la Transition écologique et solidaire, </w:t>
            </w:r>
            <w:proofErr w:type="spellStart"/>
            <w:r>
              <w:rPr>
                <w:rStyle w:val="lev"/>
                <w:rFonts w:ascii="Arial" w:hAnsi="Arial" w:cs="Arial"/>
                <w:color w:val="000000"/>
                <w:lang w:eastAsia="fr-FR"/>
              </w:rPr>
              <w:t>Elisabeth</w:t>
            </w:r>
            <w:proofErr w:type="spellEnd"/>
            <w:r>
              <w:rPr>
                <w:rStyle w:val="lev"/>
                <w:rFonts w:ascii="Arial" w:hAnsi="Arial" w:cs="Arial"/>
                <w:color w:val="000000"/>
                <w:lang w:eastAsia="fr-FR"/>
              </w:rPr>
              <w:t xml:space="preserve"> Borne, et le secrétaire d’</w:t>
            </w:r>
            <w:proofErr w:type="spellStart"/>
            <w:r>
              <w:rPr>
                <w:rStyle w:val="lev"/>
                <w:rFonts w:ascii="Arial" w:hAnsi="Arial" w:cs="Arial"/>
                <w:color w:val="000000"/>
                <w:lang w:eastAsia="fr-FR"/>
              </w:rPr>
              <w:t>Etat</w:t>
            </w:r>
            <w:proofErr w:type="spellEnd"/>
            <w:r>
              <w:rPr>
                <w:rStyle w:val="lev"/>
                <w:rFonts w:ascii="Arial" w:hAnsi="Arial" w:cs="Arial"/>
                <w:color w:val="000000"/>
                <w:lang w:eastAsia="fr-FR"/>
              </w:rPr>
              <w:t xml:space="preserve"> chargé des Transports, Jean-Baptiste </w:t>
            </w:r>
            <w:proofErr w:type="spellStart"/>
            <w:r>
              <w:rPr>
                <w:rStyle w:val="lev"/>
                <w:rFonts w:ascii="Arial" w:hAnsi="Arial" w:cs="Arial"/>
                <w:color w:val="000000"/>
                <w:lang w:eastAsia="fr-FR"/>
              </w:rPr>
              <w:t>Djebbari</w:t>
            </w:r>
            <w:proofErr w:type="spellEnd"/>
            <w:r>
              <w:rPr>
                <w:rStyle w:val="lev"/>
                <w:rFonts w:ascii="Arial" w:hAnsi="Arial" w:cs="Arial"/>
                <w:color w:val="000000"/>
                <w:lang w:eastAsia="fr-FR"/>
              </w:rPr>
              <w:t xml:space="preserve">, confirment que les centres de contrôle technique peuvent donc rester ouverts. </w:t>
            </w:r>
            <w:r>
              <w:rPr>
                <w:rStyle w:val="lev"/>
                <w:rFonts w:ascii="Arial" w:eastAsia="Times New Roman" w:hAnsi="Arial" w:cs="Arial"/>
                <w:color w:val="000000"/>
                <w:lang w:eastAsia="fr-FR"/>
              </w:rPr>
              <w:t>Toutefois, compte tenu de la crise sanitaire, une tolérance est prévue sur les délais pour réaliser les contrôles techniques. L’arrêté actant ces reports sera publié demain au Journal Officiel.</w:t>
            </w:r>
          </w:p>
          <w:p w:rsidR="00086FB1" w:rsidRDefault="00086FB1">
            <w:pPr>
              <w:spacing w:after="0" w:line="240" w:lineRule="auto"/>
              <w:jc w:val="both"/>
            </w:pPr>
            <w:r>
              <w:rPr>
                <w:rFonts w:ascii="Arial" w:eastAsia="Times New Roman" w:hAnsi="Arial" w:cs="Arial"/>
                <w:bCs/>
                <w:color w:val="000000"/>
                <w:lang w:eastAsia="fr-FR"/>
              </w:rPr>
              <w:t> </w:t>
            </w:r>
          </w:p>
          <w:p w:rsidR="00086FB1" w:rsidRDefault="00086FB1">
            <w:pPr>
              <w:spacing w:after="0" w:line="240" w:lineRule="auto"/>
              <w:jc w:val="both"/>
            </w:pPr>
            <w:r>
              <w:rPr>
                <w:rFonts w:ascii="Arial" w:eastAsia="Times New Roman" w:hAnsi="Arial" w:cs="Arial"/>
                <w:bCs/>
                <w:color w:val="000000"/>
                <w:lang w:eastAsia="fr-FR"/>
              </w:rPr>
              <w:t>Malgré les restrictions de circulation en raison de la lutte contre le Covid-19, de nombreux véhicules doivent circuler dans les prochaines semaines, notamment pour l’approvisionnement des denrées alimentaires, la livraison de gaz médicaux indispensables au fonctionnement des respirateurs artificiels, la livraison de carburants, le transport en commun de personnes ou pour les particuliers qui doivent travailler.</w:t>
            </w:r>
          </w:p>
          <w:p w:rsidR="00086FB1" w:rsidRDefault="00086FB1">
            <w:pPr>
              <w:spacing w:after="0" w:line="240" w:lineRule="auto"/>
              <w:jc w:val="both"/>
            </w:pPr>
            <w:r>
              <w:rPr>
                <w:rFonts w:ascii="Arial" w:eastAsia="Times New Roman" w:hAnsi="Arial" w:cs="Arial"/>
                <w:bCs/>
                <w:color w:val="000000"/>
                <w:lang w:eastAsia="fr-FR"/>
              </w:rPr>
              <w:t> </w:t>
            </w:r>
          </w:p>
          <w:p w:rsidR="00086FB1" w:rsidRDefault="00086FB1">
            <w:pPr>
              <w:spacing w:after="0" w:line="240" w:lineRule="auto"/>
              <w:jc w:val="both"/>
            </w:pPr>
            <w:r>
              <w:rPr>
                <w:rFonts w:ascii="Arial" w:eastAsia="Times New Roman" w:hAnsi="Arial" w:cs="Arial"/>
                <w:bCs/>
                <w:color w:val="000000"/>
                <w:lang w:eastAsia="fr-FR"/>
              </w:rPr>
              <w:t>Les centres de contrôle technique sont, par assimilation aux activités d’entretien et de réparation des véhicules automobiles, autorisés à ouvrir, dans le respect des mesures sanitaires nécessaires.</w:t>
            </w:r>
          </w:p>
          <w:p w:rsidR="00086FB1" w:rsidRDefault="00086FB1">
            <w:pPr>
              <w:spacing w:after="0" w:line="240" w:lineRule="auto"/>
              <w:jc w:val="both"/>
            </w:pPr>
            <w:r>
              <w:rPr>
                <w:rFonts w:ascii="Arial" w:eastAsia="Times New Roman" w:hAnsi="Arial" w:cs="Arial"/>
                <w:bCs/>
                <w:color w:val="000000"/>
                <w:lang w:eastAsia="fr-FR"/>
              </w:rPr>
              <w:t> </w:t>
            </w:r>
          </w:p>
          <w:p w:rsidR="00086FB1" w:rsidRDefault="00086FB1">
            <w:pPr>
              <w:spacing w:after="0" w:line="240" w:lineRule="auto"/>
              <w:jc w:val="both"/>
            </w:pPr>
            <w:r>
              <w:rPr>
                <w:rFonts w:ascii="Arial" w:eastAsia="Times New Roman" w:hAnsi="Arial" w:cs="Arial"/>
                <w:bCs/>
                <w:color w:val="000000"/>
                <w:lang w:eastAsia="fr-FR"/>
              </w:rPr>
              <w:t xml:space="preserve">Afin de concilier les enjeux de sécurité et les besoins de circulation pour assurer la continuité des services essentiels et de la vie économique : </w:t>
            </w:r>
          </w:p>
          <w:p w:rsidR="00086FB1" w:rsidRDefault="00086FB1">
            <w:pPr>
              <w:spacing w:after="0" w:line="240" w:lineRule="auto"/>
              <w:jc w:val="both"/>
            </w:pPr>
            <w:r>
              <w:rPr>
                <w:rFonts w:ascii="Arial" w:eastAsia="Times New Roman" w:hAnsi="Arial" w:cs="Arial"/>
                <w:bCs/>
                <w:color w:val="000000"/>
                <w:lang w:eastAsia="fr-FR"/>
              </w:rPr>
              <w:t> </w:t>
            </w:r>
          </w:p>
          <w:p w:rsidR="00086FB1" w:rsidRDefault="00086FB1" w:rsidP="00403CC2">
            <w:pPr>
              <w:numPr>
                <w:ilvl w:val="0"/>
                <w:numId w:val="1"/>
              </w:numPr>
              <w:spacing w:after="0" w:line="240" w:lineRule="auto"/>
              <w:jc w:val="both"/>
            </w:pPr>
            <w:r>
              <w:rPr>
                <w:rStyle w:val="lev"/>
                <w:rFonts w:ascii="Arial" w:eastAsia="Times New Roman" w:hAnsi="Arial" w:cs="Arial"/>
                <w:color w:val="000000"/>
                <w:u w:val="single"/>
                <w:lang w:eastAsia="fr-FR"/>
              </w:rPr>
              <w:t>Une tolérance de trois mois est accordée pour les délais du contrôle technique des véhicules légers</w:t>
            </w:r>
            <w:r>
              <w:rPr>
                <w:rFonts w:ascii="Arial" w:eastAsia="Times New Roman" w:hAnsi="Arial" w:cs="Arial"/>
                <w:bCs/>
                <w:color w:val="000000"/>
                <w:lang w:eastAsia="fr-FR"/>
              </w:rPr>
              <w:t>. Cette tolérance s’applique également aux délais prévus par la réglementation pour réaliser les contre-visites des véhicules légers.</w:t>
            </w:r>
          </w:p>
          <w:p w:rsidR="00086FB1" w:rsidRDefault="00086FB1">
            <w:pPr>
              <w:spacing w:after="0" w:line="240" w:lineRule="auto"/>
              <w:ind w:left="720"/>
              <w:jc w:val="both"/>
            </w:pPr>
            <w:r>
              <w:rPr>
                <w:rFonts w:ascii="Arial" w:eastAsia="Times New Roman" w:hAnsi="Arial" w:cs="Arial"/>
                <w:bCs/>
                <w:color w:val="000000"/>
                <w:lang w:eastAsia="fr-FR"/>
              </w:rPr>
              <w:t> </w:t>
            </w:r>
          </w:p>
          <w:p w:rsidR="00086FB1" w:rsidRDefault="00086FB1" w:rsidP="00403CC2">
            <w:pPr>
              <w:numPr>
                <w:ilvl w:val="0"/>
                <w:numId w:val="1"/>
              </w:numPr>
              <w:spacing w:after="0" w:line="240" w:lineRule="auto"/>
              <w:jc w:val="both"/>
            </w:pPr>
            <w:r>
              <w:rPr>
                <w:rStyle w:val="lev"/>
                <w:rFonts w:ascii="Arial" w:eastAsia="Times New Roman" w:hAnsi="Arial" w:cs="Arial"/>
                <w:color w:val="000000"/>
                <w:lang w:eastAsia="fr-FR"/>
              </w:rPr>
              <w:t xml:space="preserve">Compte tenu des enjeux majeurs de sécurité, le contrôle technique des poids lourds et des véhicules employés au transport en commun de personnes doit continuer. Toutefois </w:t>
            </w:r>
            <w:r>
              <w:rPr>
                <w:rStyle w:val="lev"/>
                <w:rFonts w:ascii="Arial" w:eastAsia="Times New Roman" w:hAnsi="Arial" w:cs="Arial"/>
                <w:color w:val="000000"/>
                <w:u w:val="single"/>
                <w:lang w:eastAsia="fr-FR"/>
              </w:rPr>
              <w:t>une</w:t>
            </w:r>
            <w:r>
              <w:rPr>
                <w:rFonts w:ascii="Arial" w:eastAsia="Times New Roman" w:hAnsi="Arial" w:cs="Arial"/>
                <w:bCs/>
                <w:color w:val="000000"/>
                <w:u w:val="single"/>
                <w:lang w:eastAsia="fr-FR"/>
              </w:rPr>
              <w:t xml:space="preserve"> </w:t>
            </w:r>
            <w:r>
              <w:rPr>
                <w:rStyle w:val="lev"/>
                <w:rFonts w:ascii="Arial" w:eastAsia="Times New Roman" w:hAnsi="Arial" w:cs="Arial"/>
                <w:color w:val="000000"/>
                <w:u w:val="single"/>
                <w:lang w:eastAsia="fr-FR"/>
              </w:rPr>
              <w:t>tolérance de quinze jours est accordée pour les délais du contrôle technique de ces véhicules lourds</w:t>
            </w:r>
            <w:r>
              <w:rPr>
                <w:rStyle w:val="lev"/>
                <w:rFonts w:ascii="Arial" w:eastAsia="Times New Roman" w:hAnsi="Arial" w:cs="Arial"/>
                <w:color w:val="000000"/>
                <w:lang w:eastAsia="fr-FR"/>
              </w:rPr>
              <w:t xml:space="preserve">. </w:t>
            </w:r>
            <w:r>
              <w:rPr>
                <w:rFonts w:ascii="Arial" w:eastAsia="Times New Roman" w:hAnsi="Arial" w:cs="Arial"/>
                <w:bCs/>
                <w:color w:val="000000"/>
                <w:lang w:eastAsia="fr-FR"/>
              </w:rPr>
              <w:t xml:space="preserve">Les centres de contrôle technique ouverts pour les véhicules lourds sont recensés sur le site de </w:t>
            </w:r>
            <w:hyperlink r:id="rId8" w:history="1">
              <w:r>
                <w:rPr>
                  <w:rStyle w:val="Lienhypertexte"/>
                  <w:rFonts w:ascii="Arial" w:eastAsia="Times New Roman" w:hAnsi="Arial" w:cs="Arial"/>
                  <w:bCs/>
                  <w:lang w:eastAsia="fr-FR"/>
                </w:rPr>
                <w:t>Bison Futé</w:t>
              </w:r>
            </w:hyperlink>
            <w:r>
              <w:rPr>
                <w:rStyle w:val="Appelnotedebasdep"/>
                <w:rFonts w:ascii="Arial" w:eastAsia="Times New Roman" w:hAnsi="Arial" w:cs="Arial"/>
                <w:bCs/>
                <w:color w:val="000000"/>
                <w:lang w:eastAsia="fr-FR"/>
              </w:rPr>
              <w:footnoteReference w:id="1"/>
            </w:r>
            <w:r>
              <w:rPr>
                <w:rStyle w:val="Appelnotedebasdep"/>
                <w:rFonts w:ascii="Arial" w:eastAsia="Times New Roman" w:hAnsi="Arial" w:cs="Arial"/>
                <w:bCs/>
                <w:color w:val="000000"/>
                <w:lang w:eastAsia="fr-FR"/>
              </w:rPr>
              <w:t>[1]</w:t>
            </w:r>
            <w:r>
              <w:rPr>
                <w:rFonts w:ascii="Arial" w:eastAsia="Times New Roman" w:hAnsi="Arial" w:cs="Arial"/>
                <w:bCs/>
                <w:color w:val="000000"/>
                <w:lang w:eastAsia="fr-FR"/>
              </w:rPr>
              <w:t xml:space="preserve">. </w:t>
            </w:r>
          </w:p>
          <w:p w:rsidR="00086FB1" w:rsidRDefault="00086FB1">
            <w:pPr>
              <w:spacing w:after="0" w:line="240" w:lineRule="auto"/>
              <w:jc w:val="both"/>
            </w:pPr>
            <w:r>
              <w:rPr>
                <w:rStyle w:val="lev"/>
                <w:rFonts w:ascii="Arial" w:eastAsia="Times New Roman" w:hAnsi="Arial" w:cs="Arial"/>
                <w:color w:val="000000"/>
                <w:lang w:eastAsia="fr-FR"/>
              </w:rPr>
              <w:lastRenderedPageBreak/>
              <w:t> </w:t>
            </w:r>
          </w:p>
          <w:p w:rsidR="00086FB1" w:rsidRDefault="00086FB1">
            <w:pPr>
              <w:spacing w:after="0" w:line="240" w:lineRule="auto"/>
              <w:jc w:val="both"/>
            </w:pPr>
            <w:r>
              <w:rPr>
                <w:rFonts w:ascii="Arial" w:eastAsia="Times New Roman" w:hAnsi="Arial" w:cs="Arial"/>
                <w:bCs/>
                <w:color w:val="000000"/>
                <w:lang w:eastAsia="fr-FR"/>
              </w:rPr>
              <w:t>Ces mesures ont été définies après concertation avec le Centre national des professions de l’Automobile (CNPA) avec qui les services du ministère sont en contact étroit.</w:t>
            </w:r>
          </w:p>
          <w:p w:rsidR="00086FB1" w:rsidRDefault="00086FB1">
            <w:pPr>
              <w:spacing w:after="0" w:line="240" w:lineRule="auto"/>
              <w:jc w:val="both"/>
            </w:pPr>
            <w:r>
              <w:rPr>
                <w:rFonts w:ascii="Arial" w:eastAsia="Times New Roman" w:hAnsi="Arial" w:cs="Arial"/>
                <w:bCs/>
                <w:color w:val="000000"/>
                <w:lang w:eastAsia="fr-FR"/>
              </w:rPr>
              <w:t> </w:t>
            </w:r>
          </w:p>
          <w:p w:rsidR="00086FB1" w:rsidRDefault="00086FB1">
            <w:pPr>
              <w:spacing w:after="0" w:line="240" w:lineRule="auto"/>
              <w:jc w:val="both"/>
            </w:pPr>
            <w:r>
              <w:rPr>
                <w:rFonts w:ascii="Arial" w:eastAsia="Times New Roman" w:hAnsi="Arial" w:cs="Arial"/>
                <w:bCs/>
                <w:color w:val="000000"/>
                <w:lang w:eastAsia="fr-FR"/>
              </w:rPr>
              <w:t>La ministre de la Transition écologique et solidaire et le secrétaire d’</w:t>
            </w:r>
            <w:proofErr w:type="spellStart"/>
            <w:r>
              <w:rPr>
                <w:rFonts w:ascii="Arial" w:eastAsia="Times New Roman" w:hAnsi="Arial" w:cs="Arial"/>
                <w:bCs/>
                <w:color w:val="000000"/>
                <w:lang w:eastAsia="fr-FR"/>
              </w:rPr>
              <w:t>Etat</w:t>
            </w:r>
            <w:proofErr w:type="spellEnd"/>
            <w:r>
              <w:rPr>
                <w:rFonts w:ascii="Arial" w:eastAsia="Times New Roman" w:hAnsi="Arial" w:cs="Arial"/>
                <w:bCs/>
                <w:color w:val="000000"/>
                <w:lang w:eastAsia="fr-FR"/>
              </w:rPr>
              <w:t xml:space="preserve"> chargé des Transports tiennent à adresser un message de remerciement à l’ensemble des professions, qui se mobilisent pour que les transports routiers puissent poursuivre leur activité.</w:t>
            </w:r>
          </w:p>
          <w:p w:rsidR="00086FB1" w:rsidRDefault="00086FB1">
            <w:pPr>
              <w:spacing w:after="0" w:line="240" w:lineRule="auto"/>
              <w:jc w:val="both"/>
            </w:pPr>
            <w:r>
              <w:rPr>
                <w:rFonts w:ascii="Arial" w:eastAsia="Times New Roman" w:hAnsi="Arial" w:cs="Arial"/>
                <w:bCs/>
                <w:color w:val="000000"/>
                <w:lang w:eastAsia="fr-FR"/>
              </w:rPr>
              <w:t> </w:t>
            </w:r>
          </w:p>
          <w:p w:rsidR="00086FB1" w:rsidRDefault="00086FB1">
            <w:pPr>
              <w:spacing w:after="0" w:line="240" w:lineRule="auto"/>
              <w:jc w:val="both"/>
            </w:pPr>
            <w:r>
              <w:rPr>
                <w:rFonts w:ascii="Arial" w:eastAsia="Times New Roman" w:hAnsi="Arial" w:cs="Arial"/>
                <w:bCs/>
                <w:color w:val="000000"/>
                <w:lang w:eastAsia="fr-FR"/>
              </w:rPr>
              <w:t> </w:t>
            </w:r>
          </w:p>
          <w:p w:rsidR="00086FB1" w:rsidRDefault="00086FB1">
            <w:pPr>
              <w:spacing w:after="0" w:line="240" w:lineRule="auto"/>
              <w:jc w:val="both"/>
            </w:pPr>
            <w:r>
              <w:rPr>
                <w:rFonts w:ascii="Arial" w:eastAsia="Times New Roman" w:hAnsi="Arial" w:cs="Arial"/>
                <w:bCs/>
                <w:color w:val="000000"/>
                <w:lang w:eastAsia="fr-FR"/>
              </w:rPr>
              <w:t> </w:t>
            </w:r>
          </w:p>
          <w:p w:rsidR="00086FB1" w:rsidRDefault="00086FB1">
            <w:pPr>
              <w:spacing w:after="0" w:line="240" w:lineRule="auto"/>
              <w:jc w:val="both"/>
            </w:pPr>
            <w:r>
              <w:rPr>
                <w:rFonts w:ascii="Arial" w:eastAsia="Times New Roman" w:hAnsi="Arial" w:cs="Arial"/>
                <w:bCs/>
                <w:color w:val="000000"/>
                <w:lang w:eastAsia="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086FB1">
              <w:tc>
                <w:tcPr>
                  <w:tcW w:w="9562" w:type="dxa"/>
                  <w:tcBorders>
                    <w:top w:val="single" w:sz="4" w:space="0" w:color="auto"/>
                    <w:left w:val="single" w:sz="4" w:space="0" w:color="auto"/>
                    <w:bottom w:val="single" w:sz="4" w:space="0" w:color="auto"/>
                    <w:right w:val="single" w:sz="4" w:space="0" w:color="auto"/>
                  </w:tcBorders>
                  <w:shd w:val="clear" w:color="auto" w:fill="F2F2F2"/>
                  <w:hideMark/>
                </w:tcPr>
                <w:p w:rsidR="00086FB1" w:rsidRDefault="00086FB1">
                  <w:pPr>
                    <w:spacing w:after="0" w:line="240" w:lineRule="auto"/>
                    <w:jc w:val="both"/>
                  </w:pPr>
                  <w:r>
                    <w:rPr>
                      <w:rStyle w:val="lev"/>
                      <w:rFonts w:ascii="Arial" w:eastAsia="Times New Roman" w:hAnsi="Arial" w:cs="Arial"/>
                      <w:color w:val="000000"/>
                      <w:lang w:eastAsia="fr-FR"/>
                    </w:rPr>
                    <w:t>Réglementation applicable aux contrôles techniques</w:t>
                  </w:r>
                </w:p>
                <w:p w:rsidR="00086FB1" w:rsidRDefault="00086FB1">
                  <w:pPr>
                    <w:spacing w:after="0" w:line="240" w:lineRule="auto"/>
                    <w:jc w:val="both"/>
                  </w:pPr>
                  <w:r>
                    <w:rPr>
                      <w:rFonts w:ascii="Arial" w:eastAsia="Times New Roman" w:hAnsi="Arial" w:cs="Arial"/>
                      <w:bCs/>
                      <w:color w:val="000000"/>
                      <w:lang w:eastAsia="fr-FR"/>
                    </w:rPr>
                    <w:t> </w:t>
                  </w:r>
                </w:p>
                <w:p w:rsidR="00086FB1" w:rsidRDefault="00086FB1">
                  <w:pPr>
                    <w:spacing w:after="0" w:line="240" w:lineRule="auto"/>
                    <w:jc w:val="both"/>
                  </w:pPr>
                  <w:r>
                    <w:rPr>
                      <w:rFonts w:ascii="Arial" w:eastAsia="Times New Roman" w:hAnsi="Arial" w:cs="Arial"/>
                      <w:bCs/>
                      <w:color w:val="000000"/>
                      <w:lang w:eastAsia="fr-FR"/>
                    </w:rPr>
                    <w:t>Conformément à l’article R. 323-22 du code de la route, les véhicules légers doivent faire l’objet d’un contrôle technique dans les six mois précédant l'expiration d'un délai de quatre ans à compter de la date de leur première mise en circulation puis tous les deux ans. Un contrôle technique complémentaire est également à réaliser entre deux contrôles périodiques pour les véhicules de catégorie N1. Afin de réduire les déplacements du grand public pour la réalisation des contrôles techniques lorsque l’état des véhicules concernés le permet, et de réduire l’exposition du personnel de ces centres, une tolérance de trois mois est accordée pour les délais du contrôle technique des véhicules légers. Cette tolérance s’applique également aux délais prévus par la réglementation pour réaliser les contre-visites des véhicules légers.</w:t>
                  </w:r>
                </w:p>
                <w:p w:rsidR="00086FB1" w:rsidRDefault="00086FB1">
                  <w:pPr>
                    <w:spacing w:after="0" w:line="240" w:lineRule="auto"/>
                    <w:jc w:val="both"/>
                  </w:pPr>
                  <w:r>
                    <w:rPr>
                      <w:rFonts w:ascii="Arial" w:eastAsia="Times New Roman" w:hAnsi="Arial" w:cs="Arial"/>
                      <w:bCs/>
                      <w:color w:val="000000"/>
                      <w:lang w:eastAsia="fr-FR"/>
                    </w:rPr>
                    <w:t> </w:t>
                  </w:r>
                </w:p>
                <w:p w:rsidR="00086FB1" w:rsidRDefault="00086FB1">
                  <w:pPr>
                    <w:spacing w:after="0" w:line="240" w:lineRule="auto"/>
                    <w:jc w:val="both"/>
                  </w:pPr>
                  <w:r>
                    <w:rPr>
                      <w:rFonts w:ascii="Arial" w:eastAsia="Times New Roman" w:hAnsi="Arial" w:cs="Arial"/>
                      <w:bCs/>
                      <w:color w:val="000000"/>
                      <w:lang w:eastAsia="fr-FR"/>
                    </w:rPr>
                    <w:t>Conformément aux articles R. 323-23 et suivants du code de la route, les véhicules employés au transport en commun de personnes et les véhicules lourds doivent faire l’objet d’un contrôle technique tous les six mois ou tous les ans. Compte tenu des enjeux particuliers de sécurité routière pour les véhicules de transport en commun de personnes, mais aussi pour les véhicules lourds, une tolérance de quinze jours est accordée pour les délais du contrôle technique de ces véhicules. Cette tolérance s’applique également aux délais prévus par la réglementation pour réaliser les contre-visites pour ces véhicules.</w:t>
                  </w:r>
                </w:p>
              </w:tc>
            </w:tr>
          </w:tbl>
          <w:p w:rsidR="00086FB1" w:rsidRDefault="00086FB1">
            <w:pPr>
              <w:spacing w:after="0" w:line="240" w:lineRule="auto"/>
              <w:jc w:val="both"/>
            </w:pPr>
            <w:r>
              <w:rPr>
                <w:rFonts w:ascii="Arial" w:eastAsia="Times New Roman" w:hAnsi="Arial" w:cs="Arial"/>
                <w:bCs/>
                <w:color w:val="000000"/>
                <w:lang w:eastAsia="fr-FR"/>
              </w:rPr>
              <w:t> </w:t>
            </w:r>
          </w:p>
          <w:p w:rsidR="00086FB1" w:rsidRDefault="00086FB1">
            <w:pPr>
              <w:spacing w:after="0" w:line="240" w:lineRule="auto"/>
              <w:jc w:val="both"/>
            </w:pPr>
            <w:r>
              <w:rPr>
                <w:rFonts w:ascii="Arial" w:eastAsia="Times New Roman" w:hAnsi="Arial" w:cs="Arial"/>
                <w:bCs/>
                <w:color w:val="000000"/>
                <w:lang w:eastAsia="fr-FR"/>
              </w:rPr>
              <w:t> </w:t>
            </w:r>
          </w:p>
        </w:tc>
      </w:tr>
      <w:tr w:rsidR="00086FB1" w:rsidTr="00086FB1">
        <w:trPr>
          <w:jc w:val="center"/>
        </w:trPr>
        <w:tc>
          <w:tcPr>
            <w:tcW w:w="9793" w:type="dxa"/>
            <w:gridSpan w:val="2"/>
            <w:hideMark/>
          </w:tcPr>
          <w:p w:rsidR="00086FB1" w:rsidRDefault="00086FB1">
            <w:pPr>
              <w:spacing w:after="0" w:line="240" w:lineRule="auto"/>
              <w:jc w:val="both"/>
            </w:pPr>
            <w:r>
              <w:rPr>
                <w:rStyle w:val="lev"/>
                <w:rFonts w:ascii="Arial" w:hAnsi="Arial" w:cs="Arial"/>
                <w:bCs w:val="0"/>
                <w:color w:val="1F3864"/>
                <w:sz w:val="24"/>
              </w:rPr>
              <w:lastRenderedPageBreak/>
              <w:t> </w:t>
            </w:r>
          </w:p>
          <w:p w:rsidR="00086FB1" w:rsidRDefault="00086FB1">
            <w:pPr>
              <w:spacing w:after="0" w:line="240" w:lineRule="auto"/>
              <w:jc w:val="both"/>
            </w:pPr>
            <w:r>
              <w:rPr>
                <w:rStyle w:val="s6"/>
                <w:rFonts w:ascii="Arial" w:hAnsi="Arial" w:cs="Arial"/>
              </w:rPr>
              <w:t> </w:t>
            </w:r>
          </w:p>
        </w:tc>
      </w:tr>
      <w:tr w:rsidR="00086FB1" w:rsidTr="00086FB1">
        <w:trPr>
          <w:jc w:val="center"/>
        </w:trPr>
        <w:tc>
          <w:tcPr>
            <w:tcW w:w="9793" w:type="dxa"/>
            <w:gridSpan w:val="2"/>
            <w:hideMark/>
          </w:tcPr>
          <w:p w:rsidR="00086FB1" w:rsidRDefault="00086FB1">
            <w:pPr>
              <w:spacing w:after="0" w:line="336" w:lineRule="exact"/>
              <w:jc w:val="center"/>
            </w:pPr>
            <w:r>
              <w:rPr>
                <w:rStyle w:val="lev"/>
                <w:rFonts w:ascii="Arial" w:eastAsia="Times New Roman" w:hAnsi="Arial" w:cs="Arial"/>
                <w:bCs w:val="0"/>
                <w:iCs/>
                <w:sz w:val="20"/>
                <w:szCs w:val="20"/>
                <w:lang w:eastAsia="fr-FR"/>
              </w:rPr>
              <w:t> </w:t>
            </w:r>
          </w:p>
          <w:p w:rsidR="00086FB1" w:rsidRDefault="00086FB1">
            <w:pPr>
              <w:spacing w:after="0" w:line="336" w:lineRule="exact"/>
              <w:jc w:val="center"/>
            </w:pPr>
            <w:hyperlink r:id="rId9" w:tgtFrame="_blank" w:history="1">
              <w:r>
                <w:rPr>
                  <w:rStyle w:val="Lienhypertexte"/>
                  <w:rFonts w:ascii="Arial" w:eastAsia="Times New Roman" w:hAnsi="Arial" w:cs="Arial"/>
                  <w:b/>
                  <w:iCs/>
                  <w:sz w:val="20"/>
                  <w:szCs w:val="20"/>
                  <w:lang w:eastAsia="fr-FR"/>
                </w:rPr>
                <w:t xml:space="preserve">Retrouvez </w:t>
              </w:r>
              <w:r>
                <w:rPr>
                  <w:rStyle w:val="Lienhypertexte"/>
                  <w:rFonts w:ascii="Arial" w:hAnsi="Arial" w:cs="Arial"/>
                  <w:b/>
                  <w:sz w:val="20"/>
                  <w:szCs w:val="20"/>
                </w:rPr>
                <w:t>le communiqué de presse en ligne</w:t>
              </w:r>
            </w:hyperlink>
            <w:r>
              <w:rPr>
                <w:rFonts w:ascii="Arial" w:eastAsia="Times New Roman" w:hAnsi="Arial" w:cs="Arial"/>
                <w:b/>
                <w:iCs/>
                <w:sz w:val="20"/>
                <w:szCs w:val="20"/>
                <w:lang w:eastAsia="fr-FR"/>
              </w:rPr>
              <w:br/>
            </w:r>
            <w:r>
              <w:rPr>
                <w:rFonts w:ascii="Arial" w:eastAsia="Times New Roman" w:hAnsi="Arial" w:cs="Arial"/>
                <w:b/>
                <w:iCs/>
                <w:sz w:val="20"/>
                <w:szCs w:val="20"/>
                <w:lang w:eastAsia="fr-FR"/>
              </w:rPr>
              <w:br/>
            </w:r>
          </w:p>
        </w:tc>
      </w:tr>
      <w:tr w:rsidR="00086FB1" w:rsidTr="00086FB1">
        <w:trPr>
          <w:trHeight w:val="411"/>
          <w:jc w:val="center"/>
        </w:trPr>
        <w:tc>
          <w:tcPr>
            <w:tcW w:w="9793" w:type="dxa"/>
            <w:gridSpan w:val="2"/>
            <w:hideMark/>
          </w:tcPr>
          <w:p w:rsidR="00086FB1" w:rsidRDefault="00086FB1">
            <w:pPr>
              <w:spacing w:after="0" w:line="240" w:lineRule="auto"/>
              <w:jc w:val="center"/>
            </w:pPr>
            <w:r>
              <w:rPr>
                <w:rStyle w:val="lev"/>
                <w:rFonts w:ascii="Arial" w:eastAsia="Times New Roman" w:hAnsi="Arial" w:cs="Arial"/>
                <w:color w:val="99CC00"/>
                <w:sz w:val="20"/>
                <w:szCs w:val="20"/>
                <w:lang w:eastAsia="fr-FR"/>
              </w:rPr>
              <w:t>____________________________</w:t>
            </w:r>
          </w:p>
          <w:p w:rsidR="00086FB1" w:rsidRDefault="00086FB1">
            <w:pPr>
              <w:spacing w:after="0" w:line="240" w:lineRule="auto"/>
              <w:jc w:val="center"/>
            </w:pPr>
            <w:r>
              <w:rPr>
                <w:rFonts w:ascii="Arial" w:hAnsi="Arial" w:cs="Arial"/>
                <w:sz w:val="16"/>
                <w:szCs w:val="16"/>
              </w:rPr>
              <w:t> </w:t>
            </w:r>
          </w:p>
          <w:p w:rsidR="00086FB1" w:rsidRDefault="00086FB1">
            <w:pPr>
              <w:spacing w:after="0" w:line="240" w:lineRule="auto"/>
              <w:jc w:val="center"/>
            </w:pPr>
            <w:r>
              <w:rPr>
                <w:rFonts w:ascii="Arial" w:hAnsi="Arial" w:cs="Arial"/>
                <w:sz w:val="20"/>
                <w:szCs w:val="20"/>
              </w:rPr>
              <w:t>Contact presse : 01 40 81 78 31</w:t>
            </w:r>
          </w:p>
          <w:p w:rsidR="00086FB1" w:rsidRDefault="00086FB1">
            <w:pPr>
              <w:spacing w:after="0" w:line="240" w:lineRule="auto"/>
              <w:jc w:val="center"/>
            </w:pPr>
            <w:hyperlink r:id="rId10" w:history="1">
              <w:r>
                <w:rPr>
                  <w:rStyle w:val="Lienhypertexte"/>
                  <w:rFonts w:ascii="Arial" w:hAnsi="Arial" w:cs="Arial"/>
                  <w:sz w:val="20"/>
                  <w:szCs w:val="20"/>
                </w:rPr>
                <w:t>www.ecologique-solidaire.gouv.fr</w:t>
              </w:r>
            </w:hyperlink>
            <w:r>
              <w:rPr>
                <w:rFonts w:ascii="Arial" w:hAnsi="Arial" w:cs="Arial"/>
                <w:sz w:val="20"/>
                <w:szCs w:val="20"/>
              </w:rPr>
              <w:t xml:space="preserve"> </w:t>
            </w:r>
          </w:p>
          <w:p w:rsidR="00086FB1" w:rsidRDefault="00086FB1">
            <w:pPr>
              <w:spacing w:after="0" w:line="240" w:lineRule="auto"/>
              <w:jc w:val="center"/>
            </w:pPr>
            <w:r>
              <w:rPr>
                <w:rFonts w:asciiTheme="minorHAnsi" w:eastAsiaTheme="minorHAnsi" w:hAnsiTheme="minorHAnsi" w:cstheme="minorBidi"/>
                <w:noProof/>
                <w:sz w:val="24"/>
                <w:szCs w:val="24"/>
              </w:rPr>
              <w:drawing>
                <wp:inline distT="0" distB="0" distL="0" distR="0">
                  <wp:extent cx="167640" cy="139700"/>
                  <wp:effectExtent l="0" t="0" r="0" b="0"/>
                  <wp:docPr id="2" name="Image 2" descr="/var/folders/_k/wcchrxyj0_30f9d5b6yfj6kw0000gp/T/com.microsoft.Word/Content.MSO/BCD912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_k/wcchrxyj0_30f9d5b6yfj6kw0000gp/T/com.microsoft.Word/Content.MSO/BCD912D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139700"/>
                          </a:xfrm>
                          <a:prstGeom prst="rect">
                            <a:avLst/>
                          </a:prstGeom>
                          <a:noFill/>
                          <a:ln>
                            <a:noFill/>
                          </a:ln>
                        </pic:spPr>
                      </pic:pic>
                    </a:graphicData>
                  </a:graphic>
                </wp:inline>
              </w:drawing>
            </w:r>
            <w:hyperlink r:id="rId12" w:history="1">
              <w:r>
                <w:rPr>
                  <w:rStyle w:val="Lienhypertexte"/>
                  <w:rFonts w:ascii="Arial" w:hAnsi="Arial" w:cs="Arial"/>
                  <w:sz w:val="20"/>
                  <w:szCs w:val="20"/>
                </w:rPr>
                <w:t>@</w:t>
              </w:r>
              <w:proofErr w:type="spellStart"/>
              <w:r>
                <w:rPr>
                  <w:rStyle w:val="Lienhypertexte"/>
                  <w:rFonts w:ascii="Arial" w:hAnsi="Arial" w:cs="Arial"/>
                  <w:sz w:val="20"/>
                  <w:szCs w:val="20"/>
                </w:rPr>
                <w:t>Min_Ecologie</w:t>
              </w:r>
              <w:proofErr w:type="spellEnd"/>
            </w:hyperlink>
          </w:p>
          <w:p w:rsidR="00086FB1" w:rsidRDefault="00086FB1">
            <w:pPr>
              <w:spacing w:after="0" w:line="240" w:lineRule="auto"/>
              <w:jc w:val="center"/>
            </w:pPr>
          </w:p>
          <w:p w:rsidR="00086FB1" w:rsidRDefault="00086FB1">
            <w:pPr>
              <w:spacing w:after="0" w:line="240" w:lineRule="auto"/>
              <w:jc w:val="center"/>
            </w:pPr>
          </w:p>
          <w:p w:rsidR="00086FB1" w:rsidRDefault="00086FB1">
            <w:pPr>
              <w:spacing w:after="0" w:line="240" w:lineRule="auto"/>
              <w:jc w:val="center"/>
            </w:pPr>
            <w:hyperlink r:id="rId13" w:tgtFrame="_blank" w:history="1">
              <w:r>
                <w:rPr>
                  <w:rStyle w:val="Lienhypertexte"/>
                  <w:rFonts w:ascii="Arial" w:hAnsi="Arial" w:cs="Arial"/>
                  <w:sz w:val="12"/>
                  <w:szCs w:val="12"/>
                </w:rPr>
                <w:t>Désinscription ici</w:t>
              </w:r>
            </w:hyperlink>
          </w:p>
        </w:tc>
      </w:tr>
    </w:tbl>
    <w:p w:rsidR="00086FB1" w:rsidRDefault="00086FB1" w:rsidP="00086FB1">
      <w:pPr>
        <w:pStyle w:val="NormalWeb"/>
        <w:spacing w:before="0" w:beforeAutospacing="0" w:after="0" w:afterAutospacing="0"/>
      </w:pPr>
    </w:p>
    <w:p w:rsidR="00086FB1" w:rsidRDefault="00086FB1" w:rsidP="00086FB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br w:type="textWrapping" w:clear="all"/>
      </w:r>
    </w:p>
    <w:p w:rsidR="00086FB1" w:rsidRDefault="00A313D1" w:rsidP="00086FB1">
      <w:pPr>
        <w:spacing w:after="0" w:line="240" w:lineRule="auto"/>
        <w:rPr>
          <w:rFonts w:ascii="Times New Roman" w:eastAsia="Times New Roman" w:hAnsi="Times New Roman"/>
          <w:sz w:val="24"/>
          <w:szCs w:val="24"/>
          <w:lang w:eastAsia="fr-FR"/>
        </w:rPr>
      </w:pPr>
      <w:r w:rsidRPr="00A313D1">
        <w:rPr>
          <w:rFonts w:ascii="Times New Roman" w:eastAsia="Times New Roman" w:hAnsi="Times New Roman"/>
          <w:noProof/>
          <w:sz w:val="24"/>
          <w:szCs w:val="24"/>
          <w:lang w:eastAsia="fr-FR"/>
        </w:rPr>
        <w:pict>
          <v:rect id="_x0000_i1025" alt="" style="width:149.6pt;height:1pt;mso-width-percent:0;mso-height-percent:0;mso-width-percent:0;mso-height-percent:0" o:hrpct="330" o:hrstd="t" o:hr="t" fillcolor="#a0a0a0" stroked="f"/>
        </w:pict>
      </w:r>
    </w:p>
    <w:p w:rsidR="00086FB1" w:rsidRDefault="00086FB1" w:rsidP="00086FB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fldChar w:fldCharType="begin"/>
      </w:r>
      <w:r>
        <w:rPr>
          <w:rFonts w:ascii="Times New Roman" w:eastAsia="Times New Roman" w:hAnsi="Times New Roman"/>
          <w:sz w:val="24"/>
          <w:szCs w:val="24"/>
          <w:lang w:eastAsia="fr-FR"/>
        </w:rPr>
        <w:instrText xml:space="preserve"> INCLUDEPICTURE "http://anws.co/bHItz/%7b41b0d80b-72b4-41fe-aa31-57df0b51401d%7d" \* MERGEFORMATINET </w:instrText>
      </w:r>
      <w:r>
        <w:rPr>
          <w:rFonts w:ascii="Times New Roman" w:eastAsia="Times New Roman" w:hAnsi="Times New Roman"/>
          <w:sz w:val="24"/>
          <w:szCs w:val="24"/>
          <w:lang w:eastAsia="fr-FR"/>
        </w:rPr>
        <w:fldChar w:fldCharType="separate"/>
      </w:r>
      <w:r>
        <w:rPr>
          <w:rFonts w:ascii="Times New Roman" w:eastAsia="Times New Roman" w:hAnsi="Times New Roman"/>
          <w:noProof/>
          <w:sz w:val="24"/>
          <w:szCs w:val="24"/>
          <w:lang w:eastAsia="fr-FR"/>
        </w:rPr>
        <w:drawing>
          <wp:inline distT="0" distB="0" distL="0" distR="0">
            <wp:extent cx="9525" cy="9525"/>
            <wp:effectExtent l="0" t="0" r="0" b="0"/>
            <wp:docPr id="1" name="Image 1" descr="http://anws.co/bHItz/%7b41b0d80b-72b4-41fe-aa31-57df0b51401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ws.co/bHItz/%7b41b0d80b-72b4-41fe-aa31-57df0b51401d%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sz w:val="24"/>
          <w:szCs w:val="24"/>
          <w:lang w:eastAsia="fr-FR"/>
        </w:rPr>
        <w:fldChar w:fldCharType="end"/>
      </w:r>
    </w:p>
    <w:p w:rsidR="00D0158C" w:rsidRDefault="00D0158C">
      <w:bookmarkStart w:id="0" w:name="_GoBack"/>
      <w:bookmarkEnd w:id="0"/>
    </w:p>
    <w:sectPr w:rsidR="00D0158C" w:rsidSect="00185AC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3D1" w:rsidRDefault="00A313D1" w:rsidP="00086FB1">
      <w:pPr>
        <w:spacing w:after="0" w:line="240" w:lineRule="auto"/>
      </w:pPr>
      <w:r>
        <w:separator/>
      </w:r>
    </w:p>
  </w:endnote>
  <w:endnote w:type="continuationSeparator" w:id="0">
    <w:p w:rsidR="00A313D1" w:rsidRDefault="00A313D1" w:rsidP="0008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3D1" w:rsidRDefault="00A313D1" w:rsidP="00086FB1">
      <w:pPr>
        <w:spacing w:after="0" w:line="240" w:lineRule="auto"/>
      </w:pPr>
      <w:r>
        <w:separator/>
      </w:r>
    </w:p>
  </w:footnote>
  <w:footnote w:type="continuationSeparator" w:id="0">
    <w:p w:rsidR="00A313D1" w:rsidRDefault="00A313D1" w:rsidP="00086FB1">
      <w:pPr>
        <w:spacing w:after="0" w:line="240" w:lineRule="auto"/>
      </w:pPr>
      <w:r>
        <w:continuationSeparator/>
      </w:r>
    </w:p>
  </w:footnote>
  <w:footnote w:id="1">
    <w:p w:rsidR="00086FB1" w:rsidRDefault="00086FB1" w:rsidP="00086FB1">
      <w:pPr>
        <w:pStyle w:val="Notedebasdepage"/>
      </w:pPr>
      <w:r>
        <w:rPr>
          <w:rStyle w:val="Appelnotedebasdep"/>
        </w:rPr>
        <w:footnoteRef/>
      </w:r>
      <w:r>
        <w:rPr>
          <w:rStyle w:val="Appelnotedebasdep"/>
        </w:rPr>
        <w:t>[1]</w:t>
      </w:r>
      <w:r>
        <w:t xml:space="preserve"> https://www.bison-fute.gouv.fr/tout-savoir-sur-l-ouverture-des.html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22C0"/>
    <w:multiLevelType w:val="hybridMultilevel"/>
    <w:tmpl w:val="CB5657BE"/>
    <w:lvl w:ilvl="0" w:tplc="E65AB41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B1"/>
    <w:rsid w:val="00086FB1"/>
    <w:rsid w:val="00185AC6"/>
    <w:rsid w:val="00717C97"/>
    <w:rsid w:val="007B1D56"/>
    <w:rsid w:val="00A313D1"/>
    <w:rsid w:val="00D01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5D233-82E9-A249-99DD-A3D60282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FB1"/>
    <w:pPr>
      <w:spacing w:after="200" w:line="276"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086FB1"/>
    <w:rPr>
      <w:color w:val="0000FF"/>
      <w:u w:val="single"/>
    </w:rPr>
  </w:style>
  <w:style w:type="paragraph" w:styleId="NormalWeb">
    <w:name w:val="Normal (Web)"/>
    <w:basedOn w:val="Normal"/>
    <w:uiPriority w:val="99"/>
    <w:semiHidden/>
    <w:unhideWhenUsed/>
    <w:rsid w:val="00086FB1"/>
    <w:pPr>
      <w:spacing w:before="100" w:beforeAutospacing="1" w:after="100" w:afterAutospacing="1" w:line="240" w:lineRule="auto"/>
    </w:pPr>
    <w:rPr>
      <w:rFonts w:ascii="Times New Roman" w:eastAsia="Times New Roman" w:hAnsi="Times New Roman"/>
      <w:sz w:val="24"/>
      <w:szCs w:val="24"/>
      <w:lang w:eastAsia="fr-FR"/>
    </w:rPr>
  </w:style>
  <w:style w:type="paragraph" w:styleId="Notedebasdepage">
    <w:name w:val="footnote text"/>
    <w:basedOn w:val="Normal"/>
    <w:link w:val="NotedebasdepageCar"/>
    <w:uiPriority w:val="99"/>
    <w:semiHidden/>
    <w:unhideWhenUsed/>
    <w:rsid w:val="00086FB1"/>
    <w:pPr>
      <w:suppressAutoHyphens/>
    </w:pPr>
    <w:rPr>
      <w:sz w:val="20"/>
      <w:szCs w:val="20"/>
      <w:lang w:val="x-none" w:eastAsia="zh-CN"/>
    </w:rPr>
  </w:style>
  <w:style w:type="character" w:customStyle="1" w:styleId="NotedebasdepageCar">
    <w:name w:val="Note de bas de page Car"/>
    <w:basedOn w:val="Policepardfaut"/>
    <w:link w:val="Notedebasdepage"/>
    <w:uiPriority w:val="99"/>
    <w:semiHidden/>
    <w:rsid w:val="00086FB1"/>
    <w:rPr>
      <w:rFonts w:ascii="Calibri" w:eastAsia="Calibri" w:hAnsi="Calibri" w:cs="Times New Roman"/>
      <w:sz w:val="20"/>
      <w:szCs w:val="20"/>
      <w:lang w:val="x-none" w:eastAsia="zh-CN"/>
    </w:rPr>
  </w:style>
  <w:style w:type="paragraph" w:styleId="En-tte">
    <w:name w:val="header"/>
    <w:basedOn w:val="Normal"/>
    <w:link w:val="En-tteCar"/>
    <w:uiPriority w:val="99"/>
    <w:semiHidden/>
    <w:unhideWhenUsed/>
    <w:rsid w:val="00086FB1"/>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link w:val="En-tte"/>
    <w:uiPriority w:val="99"/>
    <w:semiHidden/>
    <w:rsid w:val="00086FB1"/>
    <w:rPr>
      <w:rFonts w:ascii="Times New Roman" w:eastAsia="Times New Roman" w:hAnsi="Times New Roman" w:cs="Times New Roman"/>
      <w:lang w:eastAsia="fr-FR"/>
    </w:rPr>
  </w:style>
  <w:style w:type="paragraph" w:styleId="Pieddepage">
    <w:name w:val="footer"/>
    <w:basedOn w:val="Normal"/>
    <w:link w:val="PieddepageCar"/>
    <w:uiPriority w:val="99"/>
    <w:semiHidden/>
    <w:unhideWhenUsed/>
    <w:rsid w:val="00086FB1"/>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PieddepageCar">
    <w:name w:val="Pied de page Car"/>
    <w:basedOn w:val="Policepardfaut"/>
    <w:link w:val="Pieddepage"/>
    <w:uiPriority w:val="99"/>
    <w:semiHidden/>
    <w:rsid w:val="00086FB1"/>
    <w:rPr>
      <w:rFonts w:ascii="Times New Roman" w:eastAsia="Times New Roman" w:hAnsi="Times New Roman" w:cs="Times New Roman"/>
      <w:lang w:eastAsia="ar-SA"/>
    </w:rPr>
  </w:style>
  <w:style w:type="character" w:styleId="Appelnotedebasdep">
    <w:name w:val="footnote reference"/>
    <w:uiPriority w:val="99"/>
    <w:semiHidden/>
    <w:unhideWhenUsed/>
    <w:rsid w:val="00086FB1"/>
    <w:rPr>
      <w:vertAlign w:val="superscript"/>
    </w:rPr>
  </w:style>
  <w:style w:type="character" w:customStyle="1" w:styleId="s6">
    <w:name w:val="s6"/>
    <w:rsid w:val="00086FB1"/>
  </w:style>
  <w:style w:type="character" w:styleId="lev">
    <w:name w:val="Strong"/>
    <w:basedOn w:val="Policepardfaut"/>
    <w:uiPriority w:val="22"/>
    <w:qFormat/>
    <w:rsid w:val="00086FB1"/>
    <w:rPr>
      <w:b/>
      <w:bCs/>
    </w:rPr>
  </w:style>
  <w:style w:type="character" w:styleId="Accentuation">
    <w:name w:val="Emphasis"/>
    <w:basedOn w:val="Policepardfaut"/>
    <w:uiPriority w:val="20"/>
    <w:qFormat/>
    <w:rsid w:val="00086F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9373">
      <w:bodyDiv w:val="1"/>
      <w:marLeft w:val="0"/>
      <w:marRight w:val="0"/>
      <w:marTop w:val="0"/>
      <w:marBottom w:val="0"/>
      <w:divBdr>
        <w:top w:val="none" w:sz="0" w:space="0" w:color="auto"/>
        <w:left w:val="none" w:sz="0" w:space="0" w:color="auto"/>
        <w:bottom w:val="none" w:sz="0" w:space="0" w:color="auto"/>
        <w:right w:val="none" w:sz="0" w:space="0" w:color="auto"/>
      </w:divBdr>
      <w:divsChild>
        <w:div w:id="331415846">
          <w:marLeft w:val="0"/>
          <w:marRight w:val="0"/>
          <w:marTop w:val="0"/>
          <w:marBottom w:val="0"/>
          <w:divBdr>
            <w:top w:val="none" w:sz="0" w:space="0" w:color="auto"/>
            <w:left w:val="none" w:sz="0" w:space="0" w:color="auto"/>
            <w:bottom w:val="none" w:sz="0" w:space="0" w:color="auto"/>
            <w:right w:val="none" w:sz="0" w:space="0" w:color="auto"/>
          </w:divBdr>
          <w:divsChild>
            <w:div w:id="7319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ws.co/bHIts/%7b41b0d80b-72b4-41fe-aa31-57df0b51401d%7d" TargetMode="External"/><Relationship Id="rId13" Type="http://schemas.openxmlformats.org/officeDocument/2006/relationships/hyperlink" Target="http://anws.co/bHItx/%7b41b0d80b-72b4-41fe-aa31-57df0b51401d%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nws.co/bHItw/%7b41b0d80b-72b4-41fe-aa31-57df0b51401d%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nws.co/bHItv/%7b41b0d80b-72b4-41fe-aa31-57df0b51401d%7d" TargetMode="External"/><Relationship Id="rId4" Type="http://schemas.openxmlformats.org/officeDocument/2006/relationships/webSettings" Target="webSettings.xml"/><Relationship Id="rId9" Type="http://schemas.openxmlformats.org/officeDocument/2006/relationships/hyperlink" Target="http://anws.co/bHItu/%7b41b0d80b-72b4-41fe-aa31-57df0b51401d%7d" TargetMode="External"/><Relationship Id="rId14"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4070</Characters>
  <Application>Microsoft Office Word</Application>
  <DocSecurity>0</DocSecurity>
  <Lines>33</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RIVIERE</dc:creator>
  <cp:keywords/>
  <dc:description/>
  <cp:lastModifiedBy>christelle RIVIERE</cp:lastModifiedBy>
  <cp:revision>1</cp:revision>
  <dcterms:created xsi:type="dcterms:W3CDTF">2020-03-24T16:32:00Z</dcterms:created>
  <dcterms:modified xsi:type="dcterms:W3CDTF">2020-03-24T16:32:00Z</dcterms:modified>
</cp:coreProperties>
</file>