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E3E00" w14:textId="1921E610" w:rsidR="00501FB8" w:rsidRDefault="00501FB8">
      <w:pPr>
        <w:pBdr>
          <w:left w:val="nil"/>
        </w:pBdr>
        <w:rPr>
          <w:rFonts w:ascii="Isidora SemiBold" w:eastAsia="Isidora SemiBold" w:hAnsi="Isidora SemiBold" w:cs="Isidora SemiBold"/>
          <w:sz w:val="28"/>
          <w:szCs w:val="28"/>
        </w:rPr>
      </w:pPr>
    </w:p>
    <w:p w14:paraId="09AD6204" w14:textId="77777777" w:rsidR="00501FB8" w:rsidRDefault="00501FB8">
      <w:pPr>
        <w:pBdr>
          <w:top w:val="nil"/>
          <w:left w:val="nil"/>
          <w:bottom w:val="nil"/>
          <w:right w:val="nil"/>
          <w:between w:val="nil"/>
        </w:pBdr>
        <w:jc w:val="center"/>
        <w:rPr>
          <w:rFonts w:eastAsia="Arial" w:cs="Arial"/>
          <w:b/>
          <w:sz w:val="28"/>
          <w:szCs w:val="28"/>
        </w:rPr>
      </w:pPr>
    </w:p>
    <w:p w14:paraId="5B95E907" w14:textId="0856E814" w:rsidR="00501FB8" w:rsidRDefault="00066E33">
      <w:pPr>
        <w:pBdr>
          <w:top w:val="nil"/>
          <w:left w:val="nil"/>
          <w:bottom w:val="nil"/>
          <w:right w:val="nil"/>
          <w:between w:val="nil"/>
        </w:pBdr>
        <w:ind w:left="1133" w:right="1152"/>
        <w:jc w:val="center"/>
        <w:rPr>
          <w:rFonts w:eastAsia="Arial" w:cs="Arial"/>
        </w:rPr>
      </w:pPr>
      <w:r>
        <w:rPr>
          <w:rFonts w:eastAsia="Arial" w:cs="Arial"/>
          <w:noProof/>
        </w:rPr>
        <w:drawing>
          <wp:inline distT="0" distB="0" distL="0" distR="0" wp14:anchorId="09120C81" wp14:editId="1256A613">
            <wp:extent cx="2998451" cy="8159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7760" cy="840228"/>
                    </a:xfrm>
                    <a:prstGeom prst="rect">
                      <a:avLst/>
                    </a:prstGeom>
                  </pic:spPr>
                </pic:pic>
              </a:graphicData>
            </a:graphic>
          </wp:inline>
        </w:drawing>
      </w:r>
    </w:p>
    <w:p w14:paraId="34CC6E90" w14:textId="21BA505F" w:rsidR="00B3005A" w:rsidRDefault="00B3005A">
      <w:pPr>
        <w:pBdr>
          <w:top w:val="nil"/>
          <w:left w:val="nil"/>
          <w:bottom w:val="nil"/>
          <w:right w:val="nil"/>
          <w:between w:val="nil"/>
        </w:pBdr>
        <w:ind w:left="1133" w:right="1152"/>
        <w:jc w:val="center"/>
        <w:rPr>
          <w:rFonts w:eastAsia="Arial" w:cs="Arial"/>
        </w:rPr>
      </w:pPr>
    </w:p>
    <w:p w14:paraId="1681F2D6" w14:textId="77777777" w:rsidR="00B3005A" w:rsidRDefault="00B3005A">
      <w:pPr>
        <w:pBdr>
          <w:top w:val="nil"/>
          <w:left w:val="nil"/>
          <w:bottom w:val="nil"/>
          <w:right w:val="nil"/>
          <w:between w:val="nil"/>
        </w:pBdr>
        <w:ind w:left="1133" w:right="1152"/>
        <w:jc w:val="center"/>
        <w:rPr>
          <w:rFonts w:eastAsia="Arial" w:cs="Arial"/>
        </w:rPr>
      </w:pPr>
    </w:p>
    <w:p w14:paraId="21198684" w14:textId="2B55F25B" w:rsidR="00501FB8" w:rsidRDefault="00501FB8" w:rsidP="00B3005A">
      <w:pPr>
        <w:ind w:left="1133" w:right="1152"/>
        <w:jc w:val="center"/>
        <w:rPr>
          <w:rFonts w:eastAsia="Arial" w:cs="Arial"/>
        </w:rPr>
      </w:pPr>
    </w:p>
    <w:p w14:paraId="1B3F57B1" w14:textId="60DC54EE" w:rsidR="00066E33" w:rsidRDefault="00066E33" w:rsidP="00B3005A">
      <w:pPr>
        <w:ind w:left="1133" w:right="1152"/>
        <w:jc w:val="center"/>
        <w:rPr>
          <w:rFonts w:eastAsia="Arial" w:cs="Arial"/>
        </w:rPr>
      </w:pPr>
    </w:p>
    <w:p w14:paraId="7FB31290" w14:textId="13DC11EE" w:rsidR="00066E33" w:rsidRDefault="00066E33" w:rsidP="00B3005A">
      <w:pPr>
        <w:ind w:left="1133" w:right="1152"/>
        <w:jc w:val="center"/>
        <w:rPr>
          <w:rFonts w:eastAsia="Arial" w:cs="Arial"/>
        </w:rPr>
      </w:pPr>
    </w:p>
    <w:p w14:paraId="7CA8956C" w14:textId="77777777" w:rsidR="00066E33" w:rsidRDefault="00066E33" w:rsidP="00B3005A">
      <w:pPr>
        <w:ind w:left="1133" w:right="1152"/>
        <w:jc w:val="center"/>
        <w:rPr>
          <w:rFonts w:eastAsia="Arial" w:cs="Arial"/>
        </w:rPr>
      </w:pPr>
    </w:p>
    <w:p w14:paraId="6B4A28AD" w14:textId="77777777" w:rsidR="00501FB8" w:rsidRDefault="00501FB8" w:rsidP="00B3005A">
      <w:pPr>
        <w:ind w:left="1133" w:right="1152"/>
        <w:jc w:val="center"/>
        <w:rPr>
          <w:rFonts w:eastAsia="Arial" w:cs="Arial"/>
        </w:rPr>
      </w:pPr>
    </w:p>
    <w:p w14:paraId="13F72756" w14:textId="77777777" w:rsidR="00501FB8" w:rsidRDefault="00501FB8" w:rsidP="00066E33">
      <w:pPr>
        <w:pBdr>
          <w:top w:val="single" w:sz="36" w:space="1" w:color="1F497D" w:themeColor="text2"/>
        </w:pBdr>
        <w:ind w:left="1133" w:right="1152"/>
        <w:jc w:val="center"/>
        <w:rPr>
          <w:rFonts w:eastAsia="Arial" w:cs="Arial"/>
        </w:rPr>
      </w:pPr>
    </w:p>
    <w:p w14:paraId="0BACD8B9" w14:textId="77777777" w:rsidR="00501FB8" w:rsidRDefault="00501FB8">
      <w:pPr>
        <w:pBdr>
          <w:top w:val="nil"/>
          <w:left w:val="nil"/>
          <w:bottom w:val="nil"/>
          <w:right w:val="nil"/>
          <w:between w:val="nil"/>
        </w:pBdr>
        <w:ind w:left="1133" w:right="1152"/>
        <w:jc w:val="center"/>
        <w:rPr>
          <w:rFonts w:eastAsia="Arial" w:cs="Arial"/>
        </w:rPr>
      </w:pPr>
    </w:p>
    <w:p w14:paraId="6A367AC6" w14:textId="6834170D" w:rsidR="00501FB8" w:rsidRPr="00C477A6" w:rsidRDefault="00F63BB8" w:rsidP="00C477A6">
      <w:pPr>
        <w:pBdr>
          <w:top w:val="nil"/>
          <w:left w:val="nil"/>
          <w:bottom w:val="nil"/>
          <w:right w:val="nil"/>
          <w:between w:val="nil"/>
        </w:pBdr>
        <w:ind w:left="1133" w:right="1152"/>
        <w:jc w:val="center"/>
        <w:rPr>
          <w:rFonts w:eastAsia="Arial" w:cs="Arial"/>
          <w:b/>
          <w:sz w:val="24"/>
        </w:rPr>
      </w:pPr>
      <w:r w:rsidRPr="00C477A6">
        <w:rPr>
          <w:rFonts w:eastAsia="Arial" w:cs="Arial"/>
          <w:b/>
          <w:sz w:val="24"/>
        </w:rPr>
        <w:t>Projet de loi portant lutte contre le dérèglement climatique et renforcement de la résilience face à ses effets</w:t>
      </w:r>
    </w:p>
    <w:p w14:paraId="4710F272" w14:textId="77777777" w:rsidR="00501FB8" w:rsidRDefault="00501FB8">
      <w:pPr>
        <w:pBdr>
          <w:top w:val="nil"/>
          <w:left w:val="nil"/>
          <w:bottom w:val="nil"/>
          <w:right w:val="nil"/>
          <w:between w:val="nil"/>
        </w:pBdr>
        <w:ind w:left="1133" w:right="1152"/>
        <w:rPr>
          <w:rFonts w:eastAsia="Arial" w:cs="Arial"/>
          <w:sz w:val="28"/>
          <w:szCs w:val="28"/>
        </w:rPr>
      </w:pPr>
    </w:p>
    <w:p w14:paraId="7031CFA9" w14:textId="77777777" w:rsidR="00501FB8" w:rsidRDefault="00501FB8">
      <w:pPr>
        <w:pBdr>
          <w:top w:val="nil"/>
          <w:left w:val="nil"/>
          <w:bottom w:val="nil"/>
          <w:right w:val="nil"/>
          <w:between w:val="nil"/>
        </w:pBdr>
        <w:ind w:left="1133" w:right="1152"/>
        <w:jc w:val="center"/>
        <w:rPr>
          <w:rFonts w:eastAsia="Arial" w:cs="Arial"/>
          <w:sz w:val="28"/>
          <w:szCs w:val="28"/>
        </w:rPr>
      </w:pPr>
    </w:p>
    <w:p w14:paraId="41F874D7" w14:textId="36509C93" w:rsidR="00501FB8" w:rsidRPr="00066E33" w:rsidRDefault="00F63BB8" w:rsidP="00B3005A">
      <w:pPr>
        <w:pBdr>
          <w:top w:val="nil"/>
          <w:left w:val="nil"/>
          <w:bottom w:val="nil"/>
          <w:right w:val="nil"/>
          <w:between w:val="nil"/>
        </w:pBdr>
        <w:ind w:left="1133" w:right="1152"/>
        <w:jc w:val="center"/>
        <w:rPr>
          <w:rFonts w:eastAsia="Arial" w:cs="Arial"/>
          <w:b/>
          <w:color w:val="1F497D" w:themeColor="text2"/>
          <w:sz w:val="32"/>
          <w:szCs w:val="32"/>
        </w:rPr>
      </w:pPr>
      <w:r w:rsidRPr="00066E33">
        <w:rPr>
          <w:rFonts w:eastAsia="Arial" w:cs="Arial"/>
          <w:b/>
          <w:color w:val="1F497D" w:themeColor="text2"/>
          <w:sz w:val="32"/>
          <w:szCs w:val="32"/>
        </w:rPr>
        <w:t>Propositions d’amendements</w:t>
      </w:r>
      <w:r w:rsidR="00B3005A" w:rsidRPr="00066E33">
        <w:rPr>
          <w:rFonts w:eastAsia="Arial" w:cs="Arial"/>
          <w:b/>
          <w:color w:val="1F497D" w:themeColor="text2"/>
          <w:sz w:val="32"/>
          <w:szCs w:val="32"/>
        </w:rPr>
        <w:t xml:space="preserve"> de l’association AMORCE</w:t>
      </w:r>
    </w:p>
    <w:p w14:paraId="368B0C43" w14:textId="77777777" w:rsidR="00B3005A" w:rsidRPr="00B3005A" w:rsidRDefault="00B3005A" w:rsidP="00B3005A">
      <w:pPr>
        <w:pBdr>
          <w:top w:val="nil"/>
          <w:left w:val="nil"/>
          <w:bottom w:val="nil"/>
          <w:right w:val="nil"/>
          <w:between w:val="nil"/>
        </w:pBdr>
        <w:ind w:left="1133" w:right="1152"/>
        <w:jc w:val="center"/>
        <w:rPr>
          <w:rFonts w:eastAsia="Arial" w:cs="Arial"/>
          <w:b/>
          <w:color w:val="548DD4"/>
          <w:sz w:val="32"/>
          <w:szCs w:val="32"/>
        </w:rPr>
      </w:pPr>
    </w:p>
    <w:p w14:paraId="73A72C0D" w14:textId="77777777" w:rsidR="00501FB8" w:rsidRDefault="00501FB8" w:rsidP="00066E33">
      <w:pPr>
        <w:pBdr>
          <w:bottom w:val="single" w:sz="36" w:space="1" w:color="1F497D" w:themeColor="text2"/>
        </w:pBdr>
        <w:ind w:left="1133" w:right="1152"/>
        <w:jc w:val="center"/>
        <w:rPr>
          <w:rFonts w:eastAsia="Arial" w:cs="Arial"/>
        </w:rPr>
      </w:pPr>
    </w:p>
    <w:p w14:paraId="2B6C5E37" w14:textId="31654815" w:rsidR="00501FB8" w:rsidRDefault="00501FB8">
      <w:pPr>
        <w:pBdr>
          <w:top w:val="nil"/>
          <w:left w:val="nil"/>
          <w:bottom w:val="nil"/>
          <w:right w:val="nil"/>
          <w:between w:val="nil"/>
        </w:pBdr>
        <w:ind w:left="1133" w:right="1152"/>
        <w:jc w:val="center"/>
        <w:rPr>
          <w:rFonts w:eastAsia="Arial" w:cs="Arial"/>
          <w:b/>
          <w:sz w:val="28"/>
          <w:szCs w:val="28"/>
        </w:rPr>
      </w:pPr>
    </w:p>
    <w:p w14:paraId="158B18DC" w14:textId="1445717D" w:rsidR="00C477A6" w:rsidRDefault="00C477A6">
      <w:pPr>
        <w:pBdr>
          <w:top w:val="nil"/>
          <w:left w:val="nil"/>
          <w:bottom w:val="nil"/>
          <w:right w:val="nil"/>
          <w:between w:val="nil"/>
        </w:pBdr>
        <w:ind w:left="1133" w:right="1152"/>
        <w:jc w:val="center"/>
        <w:rPr>
          <w:rFonts w:eastAsia="Arial" w:cs="Arial"/>
          <w:b/>
          <w:sz w:val="28"/>
          <w:szCs w:val="28"/>
        </w:rPr>
      </w:pPr>
    </w:p>
    <w:p w14:paraId="471F796A" w14:textId="77777777" w:rsidR="00C477A6" w:rsidRDefault="00C477A6">
      <w:pPr>
        <w:pBdr>
          <w:top w:val="nil"/>
          <w:left w:val="nil"/>
          <w:bottom w:val="nil"/>
          <w:right w:val="nil"/>
          <w:between w:val="nil"/>
        </w:pBdr>
        <w:ind w:left="1133" w:right="1152"/>
        <w:jc w:val="center"/>
        <w:rPr>
          <w:rFonts w:eastAsia="Arial" w:cs="Arial"/>
          <w:b/>
          <w:sz w:val="28"/>
          <w:szCs w:val="28"/>
        </w:rPr>
      </w:pPr>
    </w:p>
    <w:p w14:paraId="776728B0" w14:textId="77777777" w:rsidR="00501FB8" w:rsidRDefault="00501FB8">
      <w:pPr>
        <w:pBdr>
          <w:top w:val="nil"/>
          <w:left w:val="nil"/>
          <w:bottom w:val="nil"/>
          <w:right w:val="nil"/>
          <w:between w:val="nil"/>
        </w:pBdr>
        <w:ind w:left="1133" w:right="1152"/>
        <w:jc w:val="center"/>
        <w:rPr>
          <w:rFonts w:eastAsia="Arial" w:cs="Arial"/>
          <w:b/>
          <w:sz w:val="28"/>
          <w:szCs w:val="28"/>
        </w:rPr>
      </w:pPr>
    </w:p>
    <w:p w14:paraId="4B90D76E" w14:textId="77777777" w:rsidR="00501FB8" w:rsidRDefault="00F63BB8">
      <w:pPr>
        <w:pBdr>
          <w:top w:val="nil"/>
          <w:left w:val="nil"/>
          <w:bottom w:val="nil"/>
          <w:right w:val="nil"/>
          <w:between w:val="nil"/>
        </w:pBdr>
        <w:ind w:left="1133" w:right="1152"/>
        <w:jc w:val="center"/>
        <w:rPr>
          <w:rFonts w:eastAsia="Arial" w:cs="Arial"/>
          <w:b/>
          <w:sz w:val="28"/>
          <w:szCs w:val="28"/>
        </w:rPr>
      </w:pPr>
      <w:r>
        <w:rPr>
          <w:rFonts w:eastAsia="Arial" w:cs="Arial"/>
          <w:b/>
          <w:sz w:val="28"/>
          <w:szCs w:val="28"/>
        </w:rPr>
        <w:t>A propos d’AMORCE</w:t>
      </w:r>
    </w:p>
    <w:p w14:paraId="0EA57B98" w14:textId="77777777" w:rsidR="00501FB8" w:rsidRDefault="00501FB8">
      <w:pPr>
        <w:pBdr>
          <w:top w:val="nil"/>
          <w:left w:val="nil"/>
          <w:bottom w:val="nil"/>
          <w:right w:val="nil"/>
          <w:between w:val="nil"/>
        </w:pBdr>
        <w:ind w:left="1133" w:right="1152"/>
        <w:jc w:val="center"/>
        <w:rPr>
          <w:rFonts w:eastAsia="Arial" w:cs="Arial"/>
          <w:b/>
          <w:sz w:val="28"/>
          <w:szCs w:val="28"/>
        </w:rPr>
      </w:pPr>
    </w:p>
    <w:p w14:paraId="7D832785" w14:textId="1D81A968" w:rsidR="00501FB8" w:rsidRDefault="00F63BB8">
      <w:pPr>
        <w:ind w:left="1133" w:right="1152"/>
        <w:jc w:val="center"/>
        <w:rPr>
          <w:rFonts w:eastAsia="Arial" w:cs="Arial"/>
          <w:color w:val="2B2B2B"/>
          <w:sz w:val="18"/>
          <w:szCs w:val="18"/>
        </w:rPr>
      </w:pPr>
      <w:r>
        <w:rPr>
          <w:rFonts w:eastAsia="Arial" w:cs="Arial"/>
          <w:color w:val="2B2B2B"/>
          <w:sz w:val="18"/>
          <w:szCs w:val="18"/>
        </w:rPr>
        <w:t>Rassemblant plus de 980 adhérents (communes, intercommunalités, conseils départementaux, conseils régionaux, entreprises, fédérations professionnelles et associations) pour 60 millions d’habitants représentés, AMORCE constitue le principal réseau d’information, de partage d’expériences et d’accompagnement des collectivités locales et des décideurs locaux en matière de gestion des déchets et d’économie circulaire, de transition énergétique et de politiques Énergie-Climat des territoires, de gestion durable de l’eau.</w:t>
      </w:r>
    </w:p>
    <w:p w14:paraId="124CC2B7" w14:textId="25D6A858" w:rsidR="00C477A6" w:rsidRDefault="00C477A6">
      <w:pPr>
        <w:ind w:left="1133" w:right="1152"/>
        <w:jc w:val="center"/>
        <w:rPr>
          <w:rFonts w:eastAsia="Arial" w:cs="Arial"/>
          <w:color w:val="2B2B2B"/>
          <w:sz w:val="18"/>
          <w:szCs w:val="18"/>
        </w:rPr>
      </w:pPr>
    </w:p>
    <w:p w14:paraId="370504D9" w14:textId="08EBB089" w:rsidR="00C477A6" w:rsidRDefault="00DA120B">
      <w:pPr>
        <w:ind w:left="1133" w:right="1152"/>
        <w:jc w:val="center"/>
        <w:rPr>
          <w:rFonts w:eastAsia="Arial" w:cs="Arial"/>
          <w:b/>
          <w:bCs/>
          <w:color w:val="2B2B2B"/>
          <w:sz w:val="18"/>
          <w:szCs w:val="18"/>
        </w:rPr>
      </w:pPr>
      <w:hyperlink r:id="rId9" w:history="1">
        <w:r w:rsidR="00C477A6" w:rsidRPr="00C477A6">
          <w:rPr>
            <w:rStyle w:val="Lienhypertexte"/>
            <w:rFonts w:eastAsia="Arial" w:cs="Arial"/>
            <w:b/>
            <w:bCs/>
            <w:sz w:val="18"/>
            <w:szCs w:val="18"/>
          </w:rPr>
          <w:t>www.amorce.asso.fr</w:t>
        </w:r>
      </w:hyperlink>
    </w:p>
    <w:p w14:paraId="54E01E6E" w14:textId="77777777" w:rsidR="00C477A6" w:rsidRPr="00C477A6" w:rsidRDefault="00C477A6" w:rsidP="00C477A6">
      <w:pPr>
        <w:ind w:left="1133" w:right="1152"/>
        <w:rPr>
          <w:rFonts w:eastAsia="Arial" w:cs="Arial"/>
          <w:b/>
          <w:bCs/>
          <w:color w:val="2B2B2B"/>
          <w:sz w:val="18"/>
          <w:szCs w:val="18"/>
        </w:rPr>
      </w:pPr>
    </w:p>
    <w:p w14:paraId="2B900717" w14:textId="77777777" w:rsidR="00501FB8" w:rsidRDefault="00501FB8">
      <w:pPr>
        <w:pBdr>
          <w:top w:val="nil"/>
          <w:left w:val="nil"/>
          <w:bottom w:val="nil"/>
          <w:right w:val="nil"/>
          <w:between w:val="nil"/>
        </w:pBdr>
        <w:ind w:left="1133" w:right="1152"/>
        <w:jc w:val="center"/>
        <w:rPr>
          <w:rFonts w:eastAsia="Arial" w:cs="Arial"/>
          <w:b/>
          <w:sz w:val="28"/>
          <w:szCs w:val="28"/>
        </w:rPr>
      </w:pPr>
    </w:p>
    <w:p w14:paraId="4F6CB4E0" w14:textId="77777777" w:rsidR="00501FB8" w:rsidRDefault="00501FB8">
      <w:pPr>
        <w:pBdr>
          <w:top w:val="nil"/>
          <w:left w:val="nil"/>
          <w:bottom w:val="nil"/>
          <w:right w:val="nil"/>
          <w:between w:val="nil"/>
        </w:pBdr>
        <w:ind w:left="1133" w:right="1152"/>
        <w:jc w:val="center"/>
        <w:rPr>
          <w:rFonts w:eastAsia="Arial" w:cs="Arial"/>
          <w:b/>
          <w:sz w:val="28"/>
          <w:szCs w:val="28"/>
        </w:rPr>
      </w:pPr>
    </w:p>
    <w:p w14:paraId="1863E612" w14:textId="77777777" w:rsidR="00501FB8" w:rsidRDefault="00501FB8">
      <w:pPr>
        <w:pBdr>
          <w:top w:val="nil"/>
          <w:left w:val="nil"/>
          <w:bottom w:val="nil"/>
          <w:right w:val="nil"/>
          <w:between w:val="nil"/>
        </w:pBdr>
        <w:ind w:left="1133" w:right="1152"/>
        <w:jc w:val="center"/>
        <w:rPr>
          <w:rFonts w:eastAsia="Arial" w:cs="Arial"/>
          <w:b/>
          <w:sz w:val="28"/>
          <w:szCs w:val="28"/>
        </w:rPr>
      </w:pPr>
    </w:p>
    <w:p w14:paraId="4B7DFB35" w14:textId="77777777" w:rsidR="00501FB8" w:rsidRDefault="00501FB8">
      <w:pPr>
        <w:pBdr>
          <w:top w:val="nil"/>
          <w:left w:val="nil"/>
          <w:bottom w:val="nil"/>
          <w:right w:val="nil"/>
          <w:between w:val="nil"/>
        </w:pBdr>
        <w:ind w:left="1842"/>
        <w:rPr>
          <w:rFonts w:eastAsia="Arial" w:cs="Arial"/>
          <w:b/>
          <w:sz w:val="28"/>
          <w:szCs w:val="28"/>
        </w:rPr>
      </w:pPr>
    </w:p>
    <w:p w14:paraId="3B1B02B6" w14:textId="77777777" w:rsidR="00501FB8" w:rsidRDefault="00501FB8">
      <w:pPr>
        <w:pBdr>
          <w:top w:val="nil"/>
          <w:left w:val="nil"/>
          <w:bottom w:val="nil"/>
          <w:right w:val="nil"/>
          <w:between w:val="nil"/>
        </w:pBdr>
        <w:jc w:val="center"/>
        <w:rPr>
          <w:rFonts w:eastAsia="Arial" w:cs="Arial"/>
          <w:sz w:val="28"/>
          <w:szCs w:val="28"/>
        </w:rPr>
      </w:pPr>
    </w:p>
    <w:p w14:paraId="1643CD85" w14:textId="77777777" w:rsidR="00501FB8" w:rsidRDefault="00501FB8">
      <w:pPr>
        <w:pBdr>
          <w:top w:val="nil"/>
          <w:left w:val="nil"/>
          <w:bottom w:val="nil"/>
          <w:right w:val="nil"/>
          <w:between w:val="nil"/>
        </w:pBdr>
        <w:jc w:val="center"/>
        <w:rPr>
          <w:rFonts w:eastAsia="Arial" w:cs="Arial"/>
          <w:sz w:val="28"/>
          <w:szCs w:val="28"/>
        </w:rPr>
      </w:pPr>
    </w:p>
    <w:p w14:paraId="42303325" w14:textId="77777777" w:rsidR="00501FB8" w:rsidRDefault="00501FB8">
      <w:pPr>
        <w:pBdr>
          <w:top w:val="nil"/>
          <w:left w:val="nil"/>
          <w:bottom w:val="nil"/>
          <w:right w:val="nil"/>
          <w:between w:val="nil"/>
        </w:pBdr>
        <w:jc w:val="center"/>
        <w:rPr>
          <w:rFonts w:eastAsia="Arial" w:cs="Arial"/>
          <w:sz w:val="28"/>
          <w:szCs w:val="28"/>
        </w:rPr>
      </w:pPr>
    </w:p>
    <w:p w14:paraId="7F3F2B76" w14:textId="77777777" w:rsidR="00501FB8" w:rsidRDefault="00501FB8">
      <w:pPr>
        <w:pBdr>
          <w:top w:val="nil"/>
          <w:left w:val="nil"/>
          <w:bottom w:val="nil"/>
          <w:right w:val="nil"/>
          <w:between w:val="nil"/>
        </w:pBdr>
        <w:rPr>
          <w:rFonts w:eastAsia="Arial" w:cs="Arial"/>
          <w:b/>
          <w:color w:val="6EBC57"/>
          <w:sz w:val="40"/>
          <w:szCs w:val="40"/>
        </w:rPr>
      </w:pPr>
    </w:p>
    <w:p w14:paraId="2D0F1E31" w14:textId="285A0001" w:rsidR="00B3005A" w:rsidRDefault="00B3005A">
      <w:pPr>
        <w:pBdr>
          <w:top w:val="none" w:sz="0" w:space="0" w:color="000000"/>
          <w:left w:val="none" w:sz="0" w:space="0" w:color="000000"/>
          <w:bottom w:val="none" w:sz="0" w:space="0" w:color="000000"/>
          <w:right w:val="none" w:sz="0" w:space="0" w:color="000000"/>
          <w:between w:val="none" w:sz="0" w:space="0" w:color="000000"/>
        </w:pBdr>
        <w:rPr>
          <w:rFonts w:eastAsia="Arial" w:cs="Arial"/>
          <w:b/>
          <w:color w:val="6EBC57"/>
          <w:sz w:val="40"/>
          <w:szCs w:val="40"/>
        </w:rPr>
      </w:pPr>
    </w:p>
    <w:p w14:paraId="09316FAD" w14:textId="32D25F47" w:rsidR="00501FB8" w:rsidRDefault="00F63BB8">
      <w:pPr>
        <w:pBdr>
          <w:top w:val="none" w:sz="0" w:space="0" w:color="000000"/>
          <w:left w:val="none" w:sz="0" w:space="0" w:color="000000"/>
          <w:bottom w:val="none" w:sz="0" w:space="0" w:color="000000"/>
          <w:right w:val="none" w:sz="0" w:space="0" w:color="000000"/>
          <w:between w:val="none" w:sz="0" w:space="0" w:color="000000"/>
        </w:pBdr>
        <w:jc w:val="both"/>
        <w:rPr>
          <w:rFonts w:eastAsia="Arial" w:cs="Arial"/>
          <w:b/>
          <w:color w:val="1F497D" w:themeColor="text2"/>
          <w:sz w:val="40"/>
          <w:szCs w:val="40"/>
        </w:rPr>
      </w:pPr>
      <w:r w:rsidRPr="00C477A6">
        <w:rPr>
          <w:rFonts w:eastAsia="Arial" w:cs="Arial"/>
          <w:b/>
          <w:color w:val="1F497D" w:themeColor="text2"/>
          <w:sz w:val="40"/>
          <w:szCs w:val="40"/>
        </w:rPr>
        <w:lastRenderedPageBreak/>
        <w:t>Sommaire</w:t>
      </w:r>
    </w:p>
    <w:p w14:paraId="7786F5C8" w14:textId="77777777" w:rsidR="00DC248C" w:rsidRPr="00341D73" w:rsidRDefault="00DC248C" w:rsidP="00503E7B">
      <w:pPr>
        <w:pStyle w:val="SECTION"/>
      </w:pPr>
      <w:bookmarkStart w:id="0" w:name="_Toc65492951"/>
    </w:p>
    <w:p w14:paraId="560989A5" w14:textId="59E89441" w:rsidR="00341D73" w:rsidRPr="00341D73" w:rsidRDefault="00DC248C">
      <w:pPr>
        <w:pStyle w:val="TM1"/>
        <w:rPr>
          <w:rFonts w:eastAsiaTheme="minorEastAsia"/>
          <w:b w:val="0"/>
          <w:bCs w:val="0"/>
          <w:caps w:val="0"/>
          <w:color w:val="auto"/>
          <w:sz w:val="24"/>
          <w:szCs w:val="24"/>
        </w:rPr>
      </w:pPr>
      <w:r w:rsidRPr="00341D73">
        <w:fldChar w:fldCharType="begin"/>
      </w:r>
      <w:r w:rsidRPr="00341D73">
        <w:instrText xml:space="preserve"> TOC \o "1-1" \h \z \t "SECTION;1;SOUS TITRE 2;2;Sans interligne;3" </w:instrText>
      </w:r>
      <w:r w:rsidRPr="00341D73">
        <w:fldChar w:fldCharType="separate"/>
      </w:r>
      <w:hyperlink w:anchor="_Toc65687430" w:history="1">
        <w:r w:rsidR="00341D73" w:rsidRPr="00341D73">
          <w:rPr>
            <w:rStyle w:val="Lienhypertexte"/>
            <w:u w:val="none"/>
          </w:rPr>
          <w:t>TITRE I - CONSOMMER</w:t>
        </w:r>
        <w:r w:rsidR="00341D73" w:rsidRPr="00341D73">
          <w:rPr>
            <w:webHidden/>
          </w:rPr>
          <w:tab/>
        </w:r>
        <w:r w:rsidR="00341D73" w:rsidRPr="00341D73">
          <w:rPr>
            <w:webHidden/>
          </w:rPr>
          <w:fldChar w:fldCharType="begin"/>
        </w:r>
        <w:r w:rsidR="00341D73" w:rsidRPr="00341D73">
          <w:rPr>
            <w:webHidden/>
          </w:rPr>
          <w:instrText xml:space="preserve"> PAGEREF _Toc65687430 \h </w:instrText>
        </w:r>
        <w:r w:rsidR="00341D73" w:rsidRPr="00341D73">
          <w:rPr>
            <w:webHidden/>
          </w:rPr>
        </w:r>
        <w:r w:rsidR="00341D73" w:rsidRPr="00341D73">
          <w:rPr>
            <w:webHidden/>
          </w:rPr>
          <w:fldChar w:fldCharType="separate"/>
        </w:r>
        <w:r w:rsidR="00341D73" w:rsidRPr="00341D73">
          <w:rPr>
            <w:webHidden/>
          </w:rPr>
          <w:t>4</w:t>
        </w:r>
        <w:r w:rsidR="00341D73" w:rsidRPr="00341D73">
          <w:rPr>
            <w:webHidden/>
          </w:rPr>
          <w:fldChar w:fldCharType="end"/>
        </w:r>
      </w:hyperlink>
    </w:p>
    <w:p w14:paraId="46F25350" w14:textId="3A4F0220" w:rsidR="00341D73" w:rsidRPr="00341D73" w:rsidRDefault="00341D73">
      <w:pPr>
        <w:pStyle w:val="TM2"/>
        <w:rPr>
          <w:rFonts w:eastAsiaTheme="minorEastAsia"/>
          <w:smallCaps w:val="0"/>
          <w:color w:val="auto"/>
          <w:sz w:val="24"/>
          <w:szCs w:val="24"/>
        </w:rPr>
      </w:pPr>
      <w:hyperlink w:anchor="_Toc65687431" w:history="1">
        <w:r w:rsidRPr="00341D73">
          <w:rPr>
            <w:rStyle w:val="Lienhypertexte"/>
            <w:u w:val="none"/>
          </w:rPr>
          <w:t>Chapitre II - Encadrer et réguler la publicité</w:t>
        </w:r>
        <w:r w:rsidRPr="00341D73">
          <w:rPr>
            <w:webHidden/>
          </w:rPr>
          <w:tab/>
        </w:r>
        <w:r w:rsidRPr="00341D73">
          <w:rPr>
            <w:webHidden/>
          </w:rPr>
          <w:fldChar w:fldCharType="begin"/>
        </w:r>
        <w:r w:rsidRPr="00341D73">
          <w:rPr>
            <w:webHidden/>
          </w:rPr>
          <w:instrText xml:space="preserve"> PAGEREF _Toc65687431 \h </w:instrText>
        </w:r>
        <w:r w:rsidRPr="00341D73">
          <w:rPr>
            <w:webHidden/>
          </w:rPr>
        </w:r>
        <w:r w:rsidRPr="00341D73">
          <w:rPr>
            <w:webHidden/>
          </w:rPr>
          <w:fldChar w:fldCharType="separate"/>
        </w:r>
        <w:r w:rsidRPr="00341D73">
          <w:rPr>
            <w:webHidden/>
          </w:rPr>
          <w:t>4</w:t>
        </w:r>
        <w:r w:rsidRPr="00341D73">
          <w:rPr>
            <w:webHidden/>
          </w:rPr>
          <w:fldChar w:fldCharType="end"/>
        </w:r>
      </w:hyperlink>
    </w:p>
    <w:p w14:paraId="5972EBC5" w14:textId="50FB664A" w:rsidR="00341D73" w:rsidRDefault="00341D73">
      <w:pPr>
        <w:pStyle w:val="TM3"/>
        <w:tabs>
          <w:tab w:val="right" w:leader="dot" w:pos="9056"/>
        </w:tabs>
        <w:rPr>
          <w:rStyle w:val="Lienhypertexte"/>
          <w:rFonts w:ascii="Arial" w:hAnsi="Arial" w:cs="Arial"/>
          <w:i w:val="0"/>
          <w:iCs w:val="0"/>
          <w:noProof/>
          <w:u w:val="none"/>
        </w:rPr>
      </w:pPr>
      <w:hyperlink w:anchor="_Toc65687432" w:history="1">
        <w:r w:rsidRPr="00341D73">
          <w:rPr>
            <w:rStyle w:val="Lienhypertexte"/>
            <w:rFonts w:ascii="Arial" w:eastAsia="Arial" w:hAnsi="Arial" w:cs="Arial"/>
            <w:i w:val="0"/>
            <w:iCs w:val="0"/>
            <w:noProof/>
            <w:u w:val="none"/>
          </w:rPr>
          <w:t>Amendement n°1 - Préciser les modalités d’expérimentation du dispositif “Oui pub” dans les collectivités territoriales</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_Toc65687432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4</w:t>
        </w:r>
        <w:r w:rsidRPr="00341D73">
          <w:rPr>
            <w:rFonts w:ascii="Arial" w:hAnsi="Arial" w:cs="Arial"/>
            <w:i w:val="0"/>
            <w:iCs w:val="0"/>
            <w:noProof/>
            <w:webHidden/>
          </w:rPr>
          <w:fldChar w:fldCharType="end"/>
        </w:r>
      </w:hyperlink>
    </w:p>
    <w:p w14:paraId="5790150D" w14:textId="77777777" w:rsidR="00341D73" w:rsidRPr="00341D73" w:rsidRDefault="00341D73" w:rsidP="00341D73">
      <w:pPr>
        <w:rPr>
          <w:rFonts w:eastAsiaTheme="minorEastAsia"/>
        </w:rPr>
      </w:pPr>
    </w:p>
    <w:p w14:paraId="28CBB7E3" w14:textId="45724487" w:rsidR="00341D73" w:rsidRPr="00341D73" w:rsidRDefault="00341D73">
      <w:pPr>
        <w:pStyle w:val="TM2"/>
        <w:rPr>
          <w:rFonts w:eastAsiaTheme="minorEastAsia"/>
          <w:smallCaps w:val="0"/>
          <w:color w:val="auto"/>
          <w:sz w:val="24"/>
          <w:szCs w:val="24"/>
        </w:rPr>
      </w:pPr>
      <w:hyperlink w:anchor="_Toc65687433" w:history="1">
        <w:r w:rsidRPr="00341D73">
          <w:rPr>
            <w:rStyle w:val="Lienhypertexte"/>
            <w:u w:val="none"/>
          </w:rPr>
          <w:t>Chapitre III - Accélérer le développement de la vente en vrac et de la consigne en verre</w:t>
        </w:r>
        <w:r w:rsidRPr="00341D73">
          <w:rPr>
            <w:webHidden/>
          </w:rPr>
          <w:tab/>
        </w:r>
        <w:r w:rsidRPr="00341D73">
          <w:rPr>
            <w:webHidden/>
          </w:rPr>
          <w:fldChar w:fldCharType="begin"/>
        </w:r>
        <w:r w:rsidRPr="00341D73">
          <w:rPr>
            <w:webHidden/>
          </w:rPr>
          <w:instrText xml:space="preserve"> PAGEREF _Toc65687433 \h </w:instrText>
        </w:r>
        <w:r w:rsidRPr="00341D73">
          <w:rPr>
            <w:webHidden/>
          </w:rPr>
        </w:r>
        <w:r w:rsidRPr="00341D73">
          <w:rPr>
            <w:webHidden/>
          </w:rPr>
          <w:fldChar w:fldCharType="separate"/>
        </w:r>
        <w:r w:rsidRPr="00341D73">
          <w:rPr>
            <w:webHidden/>
          </w:rPr>
          <w:t>5</w:t>
        </w:r>
        <w:r w:rsidRPr="00341D73">
          <w:rPr>
            <w:webHidden/>
          </w:rPr>
          <w:fldChar w:fldCharType="end"/>
        </w:r>
      </w:hyperlink>
    </w:p>
    <w:p w14:paraId="2A5A58B5" w14:textId="41CC00F0"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34" w:history="1">
        <w:r w:rsidRPr="00341D73">
          <w:rPr>
            <w:rStyle w:val="Lienhypertexte"/>
            <w:rFonts w:ascii="Arial" w:eastAsia="Arial" w:hAnsi="Arial" w:cs="Arial"/>
            <w:i w:val="0"/>
            <w:iCs w:val="0"/>
            <w:noProof/>
            <w:u w:val="none"/>
          </w:rPr>
          <w:t>Amendement n°2 (Prioritaire) - Mettre en place une éco-contribution sur tous les produits manufacturés non recyclables qui sera réaffectée au financement du service public de gestion des déchets</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_Toc65687434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5</w:t>
        </w:r>
        <w:r w:rsidRPr="00341D73">
          <w:rPr>
            <w:rFonts w:ascii="Arial" w:hAnsi="Arial" w:cs="Arial"/>
            <w:i w:val="0"/>
            <w:iCs w:val="0"/>
            <w:noProof/>
            <w:webHidden/>
          </w:rPr>
          <w:fldChar w:fldCharType="end"/>
        </w:r>
      </w:hyperlink>
    </w:p>
    <w:p w14:paraId="6709D80A" w14:textId="1F697CFD"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35" w:history="1">
        <w:r w:rsidRPr="00341D73">
          <w:rPr>
            <w:rStyle w:val="Lienhypertexte"/>
            <w:rFonts w:ascii="Arial" w:eastAsia="Arial" w:hAnsi="Arial" w:cs="Arial"/>
            <w:i w:val="0"/>
            <w:iCs w:val="0"/>
            <w:noProof/>
            <w:u w:val="none"/>
          </w:rPr>
          <w:t>Amendement n°3 (Prioritaire) - Augmentation des objectifs de réemploi visant l’ensemble des emballages à usage unique</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_Toc65687435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7</w:t>
        </w:r>
        <w:r w:rsidRPr="00341D73">
          <w:rPr>
            <w:rFonts w:ascii="Arial" w:hAnsi="Arial" w:cs="Arial"/>
            <w:i w:val="0"/>
            <w:iCs w:val="0"/>
            <w:noProof/>
            <w:webHidden/>
          </w:rPr>
          <w:fldChar w:fldCharType="end"/>
        </w:r>
      </w:hyperlink>
    </w:p>
    <w:p w14:paraId="7FB1F1FD" w14:textId="55FB3E25"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36" w:history="1">
        <w:r w:rsidRPr="00341D73">
          <w:rPr>
            <w:rStyle w:val="Lienhypertexte"/>
            <w:rFonts w:ascii="Arial" w:eastAsia="Arial" w:hAnsi="Arial" w:cs="Arial"/>
            <w:i w:val="0"/>
            <w:iCs w:val="0"/>
            <w:noProof/>
            <w:u w:val="none"/>
          </w:rPr>
          <w:t>Amendement n°4 - Rendre opérationnel le développement de la vente en vrac</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_Toc65687436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8</w:t>
        </w:r>
        <w:r w:rsidRPr="00341D73">
          <w:rPr>
            <w:rFonts w:ascii="Arial" w:hAnsi="Arial" w:cs="Arial"/>
            <w:i w:val="0"/>
            <w:iCs w:val="0"/>
            <w:noProof/>
            <w:webHidden/>
          </w:rPr>
          <w:fldChar w:fldCharType="end"/>
        </w:r>
      </w:hyperlink>
    </w:p>
    <w:p w14:paraId="689D6880" w14:textId="28B7CD53" w:rsidR="00341D73" w:rsidRDefault="00341D73">
      <w:pPr>
        <w:pStyle w:val="TM3"/>
        <w:tabs>
          <w:tab w:val="right" w:leader="dot" w:pos="9056"/>
        </w:tabs>
        <w:rPr>
          <w:rStyle w:val="Lienhypertexte"/>
          <w:rFonts w:ascii="Arial" w:hAnsi="Arial" w:cs="Arial"/>
          <w:i w:val="0"/>
          <w:iCs w:val="0"/>
          <w:noProof/>
          <w:u w:val="none"/>
        </w:rPr>
      </w:pPr>
      <w:hyperlink w:anchor="_Toc65687437" w:history="1">
        <w:r w:rsidRPr="00341D73">
          <w:rPr>
            <w:rStyle w:val="Lienhypertexte"/>
            <w:rFonts w:ascii="Arial" w:eastAsia="Arial" w:hAnsi="Arial" w:cs="Arial"/>
            <w:i w:val="0"/>
            <w:iCs w:val="0"/>
            <w:noProof/>
            <w:u w:val="none"/>
          </w:rPr>
          <w:t>Amendement n°5 - Évaluer l’opportunité de mettre en place un crédit d’impôt réparation pour inciter à la réparation des produits</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_Toc65687437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9</w:t>
        </w:r>
        <w:r w:rsidRPr="00341D73">
          <w:rPr>
            <w:rFonts w:ascii="Arial" w:hAnsi="Arial" w:cs="Arial"/>
            <w:i w:val="0"/>
            <w:iCs w:val="0"/>
            <w:noProof/>
            <w:webHidden/>
          </w:rPr>
          <w:fldChar w:fldCharType="end"/>
        </w:r>
      </w:hyperlink>
    </w:p>
    <w:p w14:paraId="2E4CBD00" w14:textId="77777777" w:rsidR="00341D73" w:rsidRPr="00341D73" w:rsidRDefault="00341D73" w:rsidP="00341D73">
      <w:pPr>
        <w:rPr>
          <w:rFonts w:eastAsiaTheme="minorEastAsia"/>
        </w:rPr>
      </w:pPr>
    </w:p>
    <w:p w14:paraId="79BEDE6C" w14:textId="66157861" w:rsidR="00341D73" w:rsidRPr="00341D73" w:rsidRDefault="00341D73">
      <w:pPr>
        <w:pStyle w:val="TM1"/>
        <w:rPr>
          <w:rFonts w:eastAsiaTheme="minorEastAsia"/>
          <w:b w:val="0"/>
          <w:bCs w:val="0"/>
          <w:caps w:val="0"/>
          <w:color w:val="auto"/>
          <w:sz w:val="24"/>
          <w:szCs w:val="24"/>
        </w:rPr>
      </w:pPr>
      <w:hyperlink w:anchor="_Toc65687438" w:history="1">
        <w:r w:rsidRPr="00341D73">
          <w:rPr>
            <w:rStyle w:val="Lienhypertexte"/>
            <w:u w:val="none"/>
          </w:rPr>
          <w:t>TITRE II - PRODUIRE ET TRAVAILLER</w:t>
        </w:r>
        <w:r w:rsidRPr="00341D73">
          <w:rPr>
            <w:webHidden/>
          </w:rPr>
          <w:tab/>
        </w:r>
        <w:r w:rsidRPr="00341D73">
          <w:rPr>
            <w:webHidden/>
          </w:rPr>
          <w:fldChar w:fldCharType="begin"/>
        </w:r>
        <w:r w:rsidRPr="00341D73">
          <w:rPr>
            <w:webHidden/>
          </w:rPr>
          <w:instrText xml:space="preserve"> PAGEREF _Toc65687438 \h </w:instrText>
        </w:r>
        <w:r w:rsidRPr="00341D73">
          <w:rPr>
            <w:webHidden/>
          </w:rPr>
        </w:r>
        <w:r w:rsidRPr="00341D73">
          <w:rPr>
            <w:webHidden/>
          </w:rPr>
          <w:fldChar w:fldCharType="separate"/>
        </w:r>
        <w:r w:rsidRPr="00341D73">
          <w:rPr>
            <w:webHidden/>
          </w:rPr>
          <w:t>10</w:t>
        </w:r>
        <w:r w:rsidRPr="00341D73">
          <w:rPr>
            <w:webHidden/>
          </w:rPr>
          <w:fldChar w:fldCharType="end"/>
        </w:r>
      </w:hyperlink>
    </w:p>
    <w:p w14:paraId="2A67D2F7" w14:textId="759162FA" w:rsidR="00341D73" w:rsidRPr="00341D73" w:rsidRDefault="00341D73">
      <w:pPr>
        <w:pStyle w:val="TM2"/>
        <w:rPr>
          <w:rFonts w:eastAsiaTheme="minorEastAsia"/>
          <w:smallCaps w:val="0"/>
          <w:color w:val="auto"/>
          <w:sz w:val="24"/>
          <w:szCs w:val="24"/>
        </w:rPr>
      </w:pPr>
      <w:hyperlink w:anchor="_Toc65687439" w:history="1">
        <w:r w:rsidRPr="00341D73">
          <w:rPr>
            <w:rStyle w:val="Lienhypertexte"/>
            <w:u w:val="none"/>
          </w:rPr>
          <w:t>Chapitre I</w:t>
        </w:r>
        <w:r w:rsidRPr="00341D73">
          <w:rPr>
            <w:rStyle w:val="Lienhypertexte"/>
            <w:u w:val="none"/>
            <w:vertAlign w:val="superscript"/>
          </w:rPr>
          <w:t>er</w:t>
        </w:r>
        <w:r w:rsidRPr="00341D73">
          <w:rPr>
            <w:rStyle w:val="Lienhypertexte"/>
            <w:u w:val="none"/>
          </w:rPr>
          <w:t xml:space="preserve"> - Verdir l’économie</w:t>
        </w:r>
        <w:r w:rsidRPr="00341D73">
          <w:rPr>
            <w:webHidden/>
          </w:rPr>
          <w:tab/>
        </w:r>
        <w:r w:rsidRPr="00341D73">
          <w:rPr>
            <w:webHidden/>
          </w:rPr>
          <w:fldChar w:fldCharType="begin"/>
        </w:r>
        <w:r w:rsidRPr="00341D73">
          <w:rPr>
            <w:webHidden/>
          </w:rPr>
          <w:instrText xml:space="preserve"> PAGEREF _Toc65687439 \h </w:instrText>
        </w:r>
        <w:r w:rsidRPr="00341D73">
          <w:rPr>
            <w:webHidden/>
          </w:rPr>
        </w:r>
        <w:r w:rsidRPr="00341D73">
          <w:rPr>
            <w:webHidden/>
          </w:rPr>
          <w:fldChar w:fldCharType="separate"/>
        </w:r>
        <w:r w:rsidRPr="00341D73">
          <w:rPr>
            <w:webHidden/>
          </w:rPr>
          <w:t>10</w:t>
        </w:r>
        <w:r w:rsidRPr="00341D73">
          <w:rPr>
            <w:webHidden/>
          </w:rPr>
          <w:fldChar w:fldCharType="end"/>
        </w:r>
      </w:hyperlink>
    </w:p>
    <w:p w14:paraId="6C151FC6" w14:textId="059CDE6E"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40" w:history="1">
        <w:r w:rsidRPr="00341D73">
          <w:rPr>
            <w:rStyle w:val="Lienhypertexte"/>
            <w:rFonts w:ascii="Arial" w:eastAsia="Arial" w:hAnsi="Arial" w:cs="Arial"/>
            <w:i w:val="0"/>
            <w:iCs w:val="0"/>
            <w:noProof/>
            <w:u w:val="none"/>
          </w:rPr>
          <w:t>Amendement n° 6 (Prioritaire) - Financer l’économie circulaire par une taxe générale sur les activités polluantes plus incitative</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_Toc65687440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10</w:t>
        </w:r>
        <w:r w:rsidRPr="00341D73">
          <w:rPr>
            <w:rFonts w:ascii="Arial" w:hAnsi="Arial" w:cs="Arial"/>
            <w:i w:val="0"/>
            <w:iCs w:val="0"/>
            <w:noProof/>
            <w:webHidden/>
          </w:rPr>
          <w:fldChar w:fldCharType="end"/>
        </w:r>
      </w:hyperlink>
    </w:p>
    <w:p w14:paraId="0170EB2A" w14:textId="5AF2D76E"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41" w:history="1">
        <w:r w:rsidRPr="00341D73">
          <w:rPr>
            <w:rStyle w:val="Lienhypertexte"/>
            <w:rFonts w:ascii="Arial" w:eastAsia="Arial" w:hAnsi="Arial" w:cs="Arial"/>
            <w:i w:val="0"/>
            <w:iCs w:val="0"/>
            <w:noProof/>
            <w:u w:val="none"/>
          </w:rPr>
          <w:t>Amendement n°7 (Prioritaire) - Reporter d’un an l’augmentation de TGAP</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_Toc65687441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11</w:t>
        </w:r>
        <w:r w:rsidRPr="00341D73">
          <w:rPr>
            <w:rFonts w:ascii="Arial" w:hAnsi="Arial" w:cs="Arial"/>
            <w:i w:val="0"/>
            <w:iCs w:val="0"/>
            <w:noProof/>
            <w:webHidden/>
          </w:rPr>
          <w:fldChar w:fldCharType="end"/>
        </w:r>
      </w:hyperlink>
    </w:p>
    <w:p w14:paraId="63FA6407" w14:textId="46989806"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42" w:history="1">
        <w:r w:rsidRPr="00341D73">
          <w:rPr>
            <w:rStyle w:val="Lienhypertexte"/>
            <w:rFonts w:ascii="Arial" w:eastAsia="Arial" w:hAnsi="Arial" w:cs="Arial"/>
            <w:i w:val="0"/>
            <w:iCs w:val="0"/>
            <w:noProof/>
            <w:u w:val="none"/>
          </w:rPr>
          <w:t>Amendement n°8 (Prioritaire) - Instaurer une réfaction de TGAP liée à la performance des collectivités en matière d’économie circulaire</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_Toc65687442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15</w:t>
        </w:r>
        <w:r w:rsidRPr="00341D73">
          <w:rPr>
            <w:rFonts w:ascii="Arial" w:hAnsi="Arial" w:cs="Arial"/>
            <w:i w:val="0"/>
            <w:iCs w:val="0"/>
            <w:noProof/>
            <w:webHidden/>
          </w:rPr>
          <w:fldChar w:fldCharType="end"/>
        </w:r>
      </w:hyperlink>
    </w:p>
    <w:p w14:paraId="17DC3C1C" w14:textId="44D2917B"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43" w:history="1">
        <w:r w:rsidRPr="00341D73">
          <w:rPr>
            <w:rStyle w:val="Lienhypertexte"/>
            <w:rFonts w:ascii="Arial" w:eastAsia="Arial" w:hAnsi="Arial" w:cs="Arial"/>
            <w:i w:val="0"/>
            <w:iCs w:val="0"/>
            <w:noProof/>
            <w:u w:val="none"/>
          </w:rPr>
          <w:t>Amendement n°9 (Prioritaire) - Instaurer un système assurantiel de garantie des conditions de reprise en vue de recyclage au sein des filières de REP dites financières</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_Toc65687443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20</w:t>
        </w:r>
        <w:r w:rsidRPr="00341D73">
          <w:rPr>
            <w:rFonts w:ascii="Arial" w:hAnsi="Arial" w:cs="Arial"/>
            <w:i w:val="0"/>
            <w:iCs w:val="0"/>
            <w:noProof/>
            <w:webHidden/>
          </w:rPr>
          <w:fldChar w:fldCharType="end"/>
        </w:r>
      </w:hyperlink>
    </w:p>
    <w:p w14:paraId="76FABBC3" w14:textId="03494735" w:rsidR="00341D73" w:rsidRDefault="00341D73">
      <w:pPr>
        <w:pStyle w:val="TM3"/>
        <w:tabs>
          <w:tab w:val="right" w:leader="dot" w:pos="9056"/>
        </w:tabs>
        <w:rPr>
          <w:rStyle w:val="Lienhypertexte"/>
          <w:rFonts w:ascii="Arial" w:hAnsi="Arial" w:cs="Arial"/>
          <w:i w:val="0"/>
          <w:iCs w:val="0"/>
          <w:noProof/>
          <w:u w:val="none"/>
        </w:rPr>
      </w:pPr>
      <w:hyperlink w:anchor="_Toc65687444" w:history="1">
        <w:r w:rsidRPr="00341D73">
          <w:rPr>
            <w:rStyle w:val="Lienhypertexte"/>
            <w:rFonts w:ascii="Arial" w:eastAsia="Arial" w:hAnsi="Arial" w:cs="Arial"/>
            <w:i w:val="0"/>
            <w:iCs w:val="0"/>
            <w:noProof/>
            <w:u w:val="none"/>
          </w:rPr>
          <w:t>Amendement n°10 - Supprimer l’interdiction de compostage de fractions fermentescibles issues de traitement mécano-biologique en 2027</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_Toc65687444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21</w:t>
        </w:r>
        <w:r w:rsidRPr="00341D73">
          <w:rPr>
            <w:rFonts w:ascii="Arial" w:hAnsi="Arial" w:cs="Arial"/>
            <w:i w:val="0"/>
            <w:iCs w:val="0"/>
            <w:noProof/>
            <w:webHidden/>
          </w:rPr>
          <w:fldChar w:fldCharType="end"/>
        </w:r>
      </w:hyperlink>
    </w:p>
    <w:p w14:paraId="2D3D6E28" w14:textId="77777777" w:rsidR="00341D73" w:rsidRPr="00341D73" w:rsidRDefault="00341D73" w:rsidP="00341D73">
      <w:pPr>
        <w:rPr>
          <w:rFonts w:eastAsiaTheme="minorEastAsia"/>
        </w:rPr>
      </w:pPr>
    </w:p>
    <w:p w14:paraId="0C020D85" w14:textId="4D29562E" w:rsidR="00341D73" w:rsidRPr="00341D73" w:rsidRDefault="00341D73">
      <w:pPr>
        <w:pStyle w:val="TM2"/>
        <w:rPr>
          <w:rFonts w:eastAsiaTheme="minorEastAsia"/>
          <w:smallCaps w:val="0"/>
          <w:color w:val="auto"/>
          <w:sz w:val="24"/>
          <w:szCs w:val="24"/>
        </w:rPr>
      </w:pPr>
      <w:hyperlink w:anchor="_Toc65687445" w:history="1">
        <w:r w:rsidRPr="00341D73">
          <w:rPr>
            <w:rStyle w:val="Lienhypertexte"/>
            <w:u w:val="none"/>
          </w:rPr>
          <w:t>Chapitre III - Protéger les écosystèmes et la diversité biologique</w:t>
        </w:r>
        <w:r w:rsidRPr="00341D73">
          <w:rPr>
            <w:webHidden/>
          </w:rPr>
          <w:tab/>
        </w:r>
        <w:r w:rsidRPr="00341D73">
          <w:rPr>
            <w:webHidden/>
          </w:rPr>
          <w:fldChar w:fldCharType="begin"/>
        </w:r>
        <w:r w:rsidRPr="00341D73">
          <w:rPr>
            <w:webHidden/>
          </w:rPr>
          <w:instrText xml:space="preserve"> PAGEREF _Toc65687445 \h </w:instrText>
        </w:r>
        <w:r w:rsidRPr="00341D73">
          <w:rPr>
            <w:webHidden/>
          </w:rPr>
        </w:r>
        <w:r w:rsidRPr="00341D73">
          <w:rPr>
            <w:webHidden/>
          </w:rPr>
          <w:fldChar w:fldCharType="separate"/>
        </w:r>
        <w:r w:rsidRPr="00341D73">
          <w:rPr>
            <w:webHidden/>
          </w:rPr>
          <w:t>22</w:t>
        </w:r>
        <w:r w:rsidRPr="00341D73">
          <w:rPr>
            <w:webHidden/>
          </w:rPr>
          <w:fldChar w:fldCharType="end"/>
        </w:r>
      </w:hyperlink>
    </w:p>
    <w:p w14:paraId="45CD6D86" w14:textId="5C10CBDF"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46" w:history="1">
        <w:r w:rsidRPr="00341D73">
          <w:rPr>
            <w:rStyle w:val="Lienhypertexte"/>
            <w:rFonts w:ascii="Arial" w:eastAsia="Arial" w:hAnsi="Arial" w:cs="Arial"/>
            <w:i w:val="0"/>
            <w:iCs w:val="0"/>
            <w:noProof/>
            <w:u w:val="none"/>
          </w:rPr>
          <w:t>Amendement n°11 (Prioritaire) - Mettre en œuvre un plan national de lutte contre la pollution plastique</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_Toc65687446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22</w:t>
        </w:r>
        <w:r w:rsidRPr="00341D73">
          <w:rPr>
            <w:rFonts w:ascii="Arial" w:hAnsi="Arial" w:cs="Arial"/>
            <w:i w:val="0"/>
            <w:iCs w:val="0"/>
            <w:noProof/>
            <w:webHidden/>
          </w:rPr>
          <w:fldChar w:fldCharType="end"/>
        </w:r>
      </w:hyperlink>
    </w:p>
    <w:p w14:paraId="74EF8F15" w14:textId="4D514365"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47" w:history="1">
        <w:r w:rsidRPr="00341D73">
          <w:rPr>
            <w:rStyle w:val="Lienhypertexte"/>
            <w:rFonts w:ascii="Arial" w:hAnsi="Arial" w:cs="Arial"/>
            <w:i w:val="0"/>
            <w:iCs w:val="0"/>
            <w:noProof/>
            <w:u w:val="none"/>
          </w:rPr>
          <w:t>Amendement n°12 (Prioritaire) - Engager une stratégie nationale de financement de la lutte contre les micropolluants dans l’eau</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_Toc65687447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23</w:t>
        </w:r>
        <w:r w:rsidRPr="00341D73">
          <w:rPr>
            <w:rFonts w:ascii="Arial" w:hAnsi="Arial" w:cs="Arial"/>
            <w:i w:val="0"/>
            <w:iCs w:val="0"/>
            <w:noProof/>
            <w:webHidden/>
          </w:rPr>
          <w:fldChar w:fldCharType="end"/>
        </w:r>
      </w:hyperlink>
    </w:p>
    <w:p w14:paraId="25511DEE" w14:textId="20212945"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48" w:history="1">
        <w:r w:rsidRPr="00341D73">
          <w:rPr>
            <w:rStyle w:val="Lienhypertexte"/>
            <w:rFonts w:ascii="Arial" w:eastAsia="Arial" w:hAnsi="Arial" w:cs="Arial"/>
            <w:i w:val="0"/>
            <w:iCs w:val="0"/>
            <w:noProof/>
            <w:u w:val="none"/>
          </w:rPr>
          <w:t>Amendement n°13 (Prioritaire) - Assurer la déclinaison territoriale de l'ensemble des objectifs de la programmation pluriannuelle de l'énergie en concertation avec les Régions</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_Toc65687448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25</w:t>
        </w:r>
        <w:r w:rsidRPr="00341D73">
          <w:rPr>
            <w:rFonts w:ascii="Arial" w:hAnsi="Arial" w:cs="Arial"/>
            <w:i w:val="0"/>
            <w:iCs w:val="0"/>
            <w:noProof/>
            <w:webHidden/>
          </w:rPr>
          <w:fldChar w:fldCharType="end"/>
        </w:r>
      </w:hyperlink>
    </w:p>
    <w:p w14:paraId="33F5EC55" w14:textId="7CEE3630"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49" w:history="1">
        <w:r w:rsidRPr="00341D73">
          <w:rPr>
            <w:rStyle w:val="Lienhypertexte"/>
            <w:rFonts w:ascii="Arial" w:eastAsia="Arial" w:hAnsi="Arial" w:cs="Arial"/>
            <w:i w:val="0"/>
            <w:iCs w:val="0"/>
            <w:noProof/>
            <w:u w:val="none"/>
          </w:rPr>
          <w:t>Amendement n°14 - Créer un Comité national de concertation et de suivi du projet de réorganisation d’EDF</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_Toc65687449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26</w:t>
        </w:r>
        <w:r w:rsidRPr="00341D73">
          <w:rPr>
            <w:rFonts w:ascii="Arial" w:hAnsi="Arial" w:cs="Arial"/>
            <w:i w:val="0"/>
            <w:iCs w:val="0"/>
            <w:noProof/>
            <w:webHidden/>
          </w:rPr>
          <w:fldChar w:fldCharType="end"/>
        </w:r>
      </w:hyperlink>
    </w:p>
    <w:p w14:paraId="7C784D8B" w14:textId="67726528"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50" w:history="1">
        <w:r w:rsidRPr="00341D73">
          <w:rPr>
            <w:rStyle w:val="Lienhypertexte"/>
            <w:rFonts w:ascii="Arial" w:eastAsia="Arial" w:hAnsi="Arial" w:cs="Arial"/>
            <w:i w:val="0"/>
            <w:iCs w:val="0"/>
            <w:noProof/>
            <w:u w:val="none"/>
          </w:rPr>
          <w:t>Amendement n°15 - Financer la mise en place de conventions locales de transition énergétique dans la distribution d’électricité et de gaz</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_Toc65687450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27</w:t>
        </w:r>
        <w:r w:rsidRPr="00341D73">
          <w:rPr>
            <w:rFonts w:ascii="Arial" w:hAnsi="Arial" w:cs="Arial"/>
            <w:i w:val="0"/>
            <w:iCs w:val="0"/>
            <w:noProof/>
            <w:webHidden/>
          </w:rPr>
          <w:fldChar w:fldCharType="end"/>
        </w:r>
      </w:hyperlink>
    </w:p>
    <w:p w14:paraId="2E43D771" w14:textId="509A2526"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51" w:history="1">
        <w:r w:rsidRPr="00341D73">
          <w:rPr>
            <w:rStyle w:val="Lienhypertexte"/>
            <w:rFonts w:ascii="Arial" w:eastAsia="Arial" w:hAnsi="Arial" w:cs="Arial"/>
            <w:i w:val="0"/>
            <w:iCs w:val="0"/>
            <w:noProof/>
            <w:u w:val="none"/>
          </w:rPr>
          <w:t>Amendement n°16 - Compenser le surcoût de l’énergie décarbonée pour les abonnés à un réseau de chaleur utilisant plus de 50 % d’énergies renouvelables et de récupération</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_Toc65687451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28</w:t>
        </w:r>
        <w:r w:rsidRPr="00341D73">
          <w:rPr>
            <w:rFonts w:ascii="Arial" w:hAnsi="Arial" w:cs="Arial"/>
            <w:i w:val="0"/>
            <w:iCs w:val="0"/>
            <w:noProof/>
            <w:webHidden/>
          </w:rPr>
          <w:fldChar w:fldCharType="end"/>
        </w:r>
      </w:hyperlink>
    </w:p>
    <w:p w14:paraId="7BACCCF5" w14:textId="5DA4B6D7"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52" w:history="1">
        <w:r w:rsidRPr="00341D73">
          <w:rPr>
            <w:rStyle w:val="Lienhypertexte"/>
            <w:rFonts w:ascii="Arial" w:eastAsia="Arial" w:hAnsi="Arial" w:cs="Arial"/>
            <w:i w:val="0"/>
            <w:iCs w:val="0"/>
            <w:noProof/>
            <w:u w:val="none"/>
          </w:rPr>
          <w:t>Amendement n°17 - Rendre effectif le classement automatique des réseaux de chaleur et de froid renouvelables</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_Toc65687452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30</w:t>
        </w:r>
        <w:r w:rsidRPr="00341D73">
          <w:rPr>
            <w:rFonts w:ascii="Arial" w:hAnsi="Arial" w:cs="Arial"/>
            <w:i w:val="0"/>
            <w:iCs w:val="0"/>
            <w:noProof/>
            <w:webHidden/>
          </w:rPr>
          <w:fldChar w:fldCharType="end"/>
        </w:r>
      </w:hyperlink>
    </w:p>
    <w:p w14:paraId="2F3FDB13" w14:textId="60550F14"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53" w:history="1">
        <w:r w:rsidRPr="00341D73">
          <w:rPr>
            <w:rStyle w:val="Lienhypertexte"/>
            <w:rFonts w:ascii="Arial" w:hAnsi="Arial" w:cs="Arial"/>
            <w:i w:val="0"/>
            <w:iCs w:val="0"/>
            <w:noProof/>
            <w:u w:val="none"/>
          </w:rPr>
          <w:t>Amendement n°18 - Favoriser le raccordement aux réseaux de chaleur et de froid renouvelables</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_Toc65687453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32</w:t>
        </w:r>
        <w:r w:rsidRPr="00341D73">
          <w:rPr>
            <w:rFonts w:ascii="Arial" w:hAnsi="Arial" w:cs="Arial"/>
            <w:i w:val="0"/>
            <w:iCs w:val="0"/>
            <w:noProof/>
            <w:webHidden/>
          </w:rPr>
          <w:fldChar w:fldCharType="end"/>
        </w:r>
      </w:hyperlink>
    </w:p>
    <w:p w14:paraId="3FC43C59" w14:textId="14958D98" w:rsidR="00341D73" w:rsidRDefault="00341D73">
      <w:pPr>
        <w:pStyle w:val="TM3"/>
        <w:tabs>
          <w:tab w:val="right" w:leader="dot" w:pos="9056"/>
        </w:tabs>
        <w:rPr>
          <w:rStyle w:val="Lienhypertexte"/>
          <w:rFonts w:ascii="Arial" w:hAnsi="Arial" w:cs="Arial"/>
          <w:i w:val="0"/>
          <w:iCs w:val="0"/>
          <w:noProof/>
          <w:u w:val="none"/>
        </w:rPr>
      </w:pPr>
      <w:hyperlink w:anchor="_Toc65687454" w:history="1">
        <w:r w:rsidRPr="00341D73">
          <w:rPr>
            <w:rStyle w:val="Lienhypertexte"/>
            <w:rFonts w:ascii="Arial" w:hAnsi="Arial" w:cs="Arial"/>
            <w:i w:val="0"/>
            <w:iCs w:val="0"/>
            <w:noProof/>
            <w:u w:val="none"/>
          </w:rPr>
          <w:t>Amendement n°19 - Traduire dans la loi et dans les territoires les objectifs de réduction de 25 % des prélèvements d’eau d’ici 2034, issus des Assises de l’eau</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_Toc65687454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33</w:t>
        </w:r>
        <w:r w:rsidRPr="00341D73">
          <w:rPr>
            <w:rFonts w:ascii="Arial" w:hAnsi="Arial" w:cs="Arial"/>
            <w:i w:val="0"/>
            <w:iCs w:val="0"/>
            <w:noProof/>
            <w:webHidden/>
          </w:rPr>
          <w:fldChar w:fldCharType="end"/>
        </w:r>
      </w:hyperlink>
    </w:p>
    <w:p w14:paraId="4865C527" w14:textId="77777777" w:rsidR="00341D73" w:rsidRPr="00341D73" w:rsidRDefault="00341D73" w:rsidP="00341D73">
      <w:pPr>
        <w:rPr>
          <w:rFonts w:eastAsiaTheme="minorEastAsia"/>
        </w:rPr>
      </w:pPr>
    </w:p>
    <w:p w14:paraId="664BF101" w14:textId="07F8A7C9" w:rsidR="00341D73" w:rsidRPr="00341D73" w:rsidRDefault="00341D73">
      <w:pPr>
        <w:pStyle w:val="TM1"/>
        <w:rPr>
          <w:rFonts w:eastAsiaTheme="minorEastAsia"/>
          <w:b w:val="0"/>
          <w:bCs w:val="0"/>
          <w:caps w:val="0"/>
          <w:color w:val="auto"/>
          <w:sz w:val="24"/>
          <w:szCs w:val="24"/>
        </w:rPr>
      </w:pPr>
      <w:hyperlink w:anchor="_Toc65687455" w:history="1">
        <w:r w:rsidRPr="00341D73">
          <w:rPr>
            <w:rStyle w:val="Lienhypertexte"/>
            <w:u w:val="none"/>
          </w:rPr>
          <w:t>TITRE IV – SE LOGER</w:t>
        </w:r>
        <w:r w:rsidRPr="00341D73">
          <w:rPr>
            <w:webHidden/>
          </w:rPr>
          <w:tab/>
        </w:r>
        <w:r w:rsidRPr="00341D73">
          <w:rPr>
            <w:webHidden/>
          </w:rPr>
          <w:fldChar w:fldCharType="begin"/>
        </w:r>
        <w:r w:rsidRPr="00341D73">
          <w:rPr>
            <w:webHidden/>
          </w:rPr>
          <w:instrText xml:space="preserve"> PAGEREF _Toc65687455 \h </w:instrText>
        </w:r>
        <w:r w:rsidRPr="00341D73">
          <w:rPr>
            <w:webHidden/>
          </w:rPr>
        </w:r>
        <w:r w:rsidRPr="00341D73">
          <w:rPr>
            <w:webHidden/>
          </w:rPr>
          <w:fldChar w:fldCharType="separate"/>
        </w:r>
        <w:r w:rsidRPr="00341D73">
          <w:rPr>
            <w:webHidden/>
          </w:rPr>
          <w:t>34</w:t>
        </w:r>
        <w:r w:rsidRPr="00341D73">
          <w:rPr>
            <w:webHidden/>
          </w:rPr>
          <w:fldChar w:fldCharType="end"/>
        </w:r>
      </w:hyperlink>
    </w:p>
    <w:p w14:paraId="0A69A8EE" w14:textId="0E4130E5" w:rsidR="00341D73" w:rsidRPr="00341D73" w:rsidRDefault="00341D73">
      <w:pPr>
        <w:pStyle w:val="TM2"/>
        <w:rPr>
          <w:rFonts w:eastAsiaTheme="minorEastAsia"/>
          <w:smallCaps w:val="0"/>
          <w:color w:val="auto"/>
          <w:sz w:val="24"/>
          <w:szCs w:val="24"/>
        </w:rPr>
      </w:pPr>
      <w:hyperlink w:anchor="_Toc65687456" w:history="1">
        <w:r w:rsidRPr="00341D73">
          <w:rPr>
            <w:rStyle w:val="Lienhypertexte"/>
            <w:u w:val="none"/>
          </w:rPr>
          <w:t>Chapitre I</w:t>
        </w:r>
        <w:r w:rsidRPr="00341D73">
          <w:rPr>
            <w:rStyle w:val="Lienhypertexte"/>
            <w:u w:val="none"/>
            <w:vertAlign w:val="superscript"/>
          </w:rPr>
          <w:t>er</w:t>
        </w:r>
        <w:r w:rsidRPr="00341D73">
          <w:rPr>
            <w:rStyle w:val="Lienhypertexte"/>
            <w:u w:val="none"/>
          </w:rPr>
          <w:t xml:space="preserve"> – Rénover les bâtiments</w:t>
        </w:r>
        <w:r w:rsidRPr="00341D73">
          <w:rPr>
            <w:webHidden/>
          </w:rPr>
          <w:tab/>
        </w:r>
        <w:r w:rsidRPr="00341D73">
          <w:rPr>
            <w:webHidden/>
          </w:rPr>
          <w:fldChar w:fldCharType="begin"/>
        </w:r>
        <w:r w:rsidRPr="00341D73">
          <w:rPr>
            <w:webHidden/>
          </w:rPr>
          <w:instrText xml:space="preserve"> PAGEREF _Toc65687456 \h </w:instrText>
        </w:r>
        <w:r w:rsidRPr="00341D73">
          <w:rPr>
            <w:webHidden/>
          </w:rPr>
        </w:r>
        <w:r w:rsidRPr="00341D73">
          <w:rPr>
            <w:webHidden/>
          </w:rPr>
          <w:fldChar w:fldCharType="separate"/>
        </w:r>
        <w:r w:rsidRPr="00341D73">
          <w:rPr>
            <w:webHidden/>
          </w:rPr>
          <w:t>34</w:t>
        </w:r>
        <w:r w:rsidRPr="00341D73">
          <w:rPr>
            <w:webHidden/>
          </w:rPr>
          <w:fldChar w:fldCharType="end"/>
        </w:r>
      </w:hyperlink>
    </w:p>
    <w:p w14:paraId="128265B7" w14:textId="208C1F39"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57" w:history="1">
        <w:r w:rsidRPr="00341D73">
          <w:rPr>
            <w:rStyle w:val="Lienhypertexte"/>
            <w:rFonts w:ascii="Arial" w:eastAsia="Arial" w:hAnsi="Arial" w:cs="Arial"/>
            <w:i w:val="0"/>
            <w:iCs w:val="0"/>
            <w:noProof/>
            <w:u w:val="none"/>
          </w:rPr>
          <w:t>Amendement n°20 (Prioritaire) - Rendre obligatoire les rénovations de passoires énergétiques</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_Toc65687457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34</w:t>
        </w:r>
        <w:r w:rsidRPr="00341D73">
          <w:rPr>
            <w:rFonts w:ascii="Arial" w:hAnsi="Arial" w:cs="Arial"/>
            <w:i w:val="0"/>
            <w:iCs w:val="0"/>
            <w:noProof/>
            <w:webHidden/>
          </w:rPr>
          <w:fldChar w:fldCharType="end"/>
        </w:r>
      </w:hyperlink>
    </w:p>
    <w:p w14:paraId="2F84DA40" w14:textId="775A25B6"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58" w:history="1">
        <w:r w:rsidRPr="00341D73">
          <w:rPr>
            <w:rStyle w:val="Lienhypertexte"/>
            <w:rFonts w:ascii="Arial" w:eastAsia="Arial" w:hAnsi="Arial" w:cs="Arial"/>
            <w:i w:val="0"/>
            <w:iCs w:val="0"/>
            <w:noProof/>
            <w:u w:val="none"/>
          </w:rPr>
          <w:t>Amendement n°21 (Prioritaire) - Soumettre le contenu carbone des différentes énergies de chauffage à l’avis indépendant du Haut Conseil pour le Climat</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_Toc65687458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35</w:t>
        </w:r>
        <w:r w:rsidRPr="00341D73">
          <w:rPr>
            <w:rFonts w:ascii="Arial" w:hAnsi="Arial" w:cs="Arial"/>
            <w:i w:val="0"/>
            <w:iCs w:val="0"/>
            <w:noProof/>
            <w:webHidden/>
          </w:rPr>
          <w:fldChar w:fldCharType="end"/>
        </w:r>
      </w:hyperlink>
    </w:p>
    <w:p w14:paraId="16B588A4" w14:textId="47E35E49"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59" w:history="1">
        <w:r w:rsidRPr="00341D73">
          <w:rPr>
            <w:rStyle w:val="Lienhypertexte"/>
            <w:rFonts w:ascii="Arial" w:eastAsia="Arial" w:hAnsi="Arial" w:cs="Arial"/>
            <w:i w:val="0"/>
            <w:iCs w:val="0"/>
            <w:noProof/>
            <w:u w:val="none"/>
          </w:rPr>
          <w:t>Amendement n°22 (Prioritaire) - Formuler les objectifs nationaux de réduction de consommation d'énergie des bâtiments tertiaires en énergie primaire et finale</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_Toc65687459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36</w:t>
        </w:r>
        <w:r w:rsidRPr="00341D73">
          <w:rPr>
            <w:rFonts w:ascii="Arial" w:hAnsi="Arial" w:cs="Arial"/>
            <w:i w:val="0"/>
            <w:iCs w:val="0"/>
            <w:noProof/>
            <w:webHidden/>
          </w:rPr>
          <w:fldChar w:fldCharType="end"/>
        </w:r>
      </w:hyperlink>
    </w:p>
    <w:p w14:paraId="4D47C8AE" w14:textId="33846F11"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60" w:history="1">
        <w:r w:rsidRPr="00341D73">
          <w:rPr>
            <w:rStyle w:val="Lienhypertexte"/>
            <w:rFonts w:ascii="Arial" w:eastAsia="Arial" w:hAnsi="Arial" w:cs="Arial"/>
            <w:i w:val="0"/>
            <w:iCs w:val="0"/>
            <w:noProof/>
            <w:u w:val="none"/>
          </w:rPr>
          <w:t>Amendement n°23 (Prioritaire) - Garantir l’ambition de réduction de consommation d'énergie des bâtiments tertiaires en assurant un traitement équitable des énergies renouvelables</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_Toc65687460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37</w:t>
        </w:r>
        <w:r w:rsidRPr="00341D73">
          <w:rPr>
            <w:rFonts w:ascii="Arial" w:hAnsi="Arial" w:cs="Arial"/>
            <w:i w:val="0"/>
            <w:iCs w:val="0"/>
            <w:noProof/>
            <w:webHidden/>
          </w:rPr>
          <w:fldChar w:fldCharType="end"/>
        </w:r>
      </w:hyperlink>
    </w:p>
    <w:p w14:paraId="55EA9187" w14:textId="4D846A57" w:rsidR="00341D73" w:rsidRDefault="00341D73">
      <w:pPr>
        <w:pStyle w:val="TM3"/>
        <w:tabs>
          <w:tab w:val="right" w:leader="dot" w:pos="9056"/>
        </w:tabs>
        <w:rPr>
          <w:rStyle w:val="Lienhypertexte"/>
          <w:rFonts w:ascii="Arial" w:hAnsi="Arial" w:cs="Arial"/>
          <w:i w:val="0"/>
          <w:iCs w:val="0"/>
          <w:noProof/>
          <w:u w:val="none"/>
        </w:rPr>
      </w:pPr>
      <w:hyperlink w:anchor="_Toc65687461" w:history="1">
        <w:r w:rsidRPr="00341D73">
          <w:rPr>
            <w:rStyle w:val="Lienhypertexte"/>
            <w:rFonts w:ascii="Arial" w:eastAsia="Arial" w:hAnsi="Arial" w:cs="Arial"/>
            <w:i w:val="0"/>
            <w:iCs w:val="0"/>
            <w:noProof/>
            <w:u w:val="none"/>
          </w:rPr>
          <w:t>Amendement n°24 (Prioritaire) - Créer une expérimentation pour faciliter le repérage des ménages en situation de précarité énergétique</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_Toc65687461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38</w:t>
        </w:r>
        <w:r w:rsidRPr="00341D73">
          <w:rPr>
            <w:rFonts w:ascii="Arial" w:hAnsi="Arial" w:cs="Arial"/>
            <w:i w:val="0"/>
            <w:iCs w:val="0"/>
            <w:noProof/>
            <w:webHidden/>
          </w:rPr>
          <w:fldChar w:fldCharType="end"/>
        </w:r>
      </w:hyperlink>
    </w:p>
    <w:p w14:paraId="6BF0648B" w14:textId="77777777" w:rsidR="00341D73" w:rsidRPr="00341D73" w:rsidRDefault="00341D73" w:rsidP="00341D73">
      <w:pPr>
        <w:rPr>
          <w:rFonts w:eastAsiaTheme="minorEastAsia"/>
        </w:rPr>
      </w:pPr>
    </w:p>
    <w:p w14:paraId="22DDCB7A" w14:textId="296B720E" w:rsidR="00341D73" w:rsidRPr="00341D73" w:rsidRDefault="00341D73">
      <w:pPr>
        <w:pStyle w:val="TM2"/>
        <w:rPr>
          <w:rFonts w:eastAsiaTheme="minorEastAsia"/>
          <w:smallCaps w:val="0"/>
          <w:color w:val="auto"/>
          <w:sz w:val="24"/>
          <w:szCs w:val="24"/>
        </w:rPr>
      </w:pPr>
      <w:hyperlink w:anchor="_Toc65687462" w:history="1">
        <w:r w:rsidRPr="00341D73">
          <w:rPr>
            <w:rStyle w:val="Lienhypertexte"/>
            <w:u w:val="none"/>
          </w:rPr>
          <w:t>Chapitre III - Lutter contre l’artificialisation des sols en adaptant les règles d’urbanisme</w:t>
        </w:r>
        <w:r w:rsidRPr="00341D73">
          <w:rPr>
            <w:webHidden/>
          </w:rPr>
          <w:tab/>
        </w:r>
        <w:r w:rsidRPr="00341D73">
          <w:rPr>
            <w:webHidden/>
          </w:rPr>
          <w:fldChar w:fldCharType="begin"/>
        </w:r>
        <w:r w:rsidRPr="00341D73">
          <w:rPr>
            <w:webHidden/>
          </w:rPr>
          <w:instrText xml:space="preserve"> PAGEREF _Toc65687462 \h </w:instrText>
        </w:r>
        <w:r w:rsidRPr="00341D73">
          <w:rPr>
            <w:webHidden/>
          </w:rPr>
        </w:r>
        <w:r w:rsidRPr="00341D73">
          <w:rPr>
            <w:webHidden/>
          </w:rPr>
          <w:fldChar w:fldCharType="separate"/>
        </w:r>
        <w:r w:rsidRPr="00341D73">
          <w:rPr>
            <w:webHidden/>
          </w:rPr>
          <w:t>39</w:t>
        </w:r>
        <w:r w:rsidRPr="00341D73">
          <w:rPr>
            <w:webHidden/>
          </w:rPr>
          <w:fldChar w:fldCharType="end"/>
        </w:r>
      </w:hyperlink>
    </w:p>
    <w:p w14:paraId="31D3BC39" w14:textId="4C75FB20" w:rsidR="00341D73" w:rsidRDefault="00341D73">
      <w:pPr>
        <w:pStyle w:val="TM3"/>
        <w:tabs>
          <w:tab w:val="right" w:leader="dot" w:pos="9056"/>
        </w:tabs>
        <w:rPr>
          <w:rStyle w:val="Lienhypertexte"/>
          <w:rFonts w:ascii="Arial" w:hAnsi="Arial" w:cs="Arial"/>
          <w:i w:val="0"/>
          <w:iCs w:val="0"/>
          <w:noProof/>
          <w:u w:val="none"/>
        </w:rPr>
      </w:pPr>
      <w:hyperlink w:anchor="_Toc65687463" w:history="1">
        <w:r w:rsidRPr="00341D73">
          <w:rPr>
            <w:rStyle w:val="Lienhypertexte"/>
            <w:rFonts w:ascii="Arial" w:hAnsi="Arial" w:cs="Arial"/>
            <w:i w:val="0"/>
            <w:iCs w:val="0"/>
            <w:noProof/>
            <w:u w:val="none"/>
          </w:rPr>
          <w:t>Amendement n°25 (Prioritaire) - Assurer une meilleure gestion des eaux pluviales pour tout projet de construction</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_Toc65687463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39</w:t>
        </w:r>
        <w:r w:rsidRPr="00341D73">
          <w:rPr>
            <w:rFonts w:ascii="Arial" w:hAnsi="Arial" w:cs="Arial"/>
            <w:i w:val="0"/>
            <w:iCs w:val="0"/>
            <w:noProof/>
            <w:webHidden/>
          </w:rPr>
          <w:fldChar w:fldCharType="end"/>
        </w:r>
      </w:hyperlink>
    </w:p>
    <w:p w14:paraId="652FE7CB" w14:textId="77777777" w:rsidR="00341D73" w:rsidRPr="00341D73" w:rsidRDefault="00341D73" w:rsidP="00341D73">
      <w:pPr>
        <w:rPr>
          <w:rFonts w:eastAsiaTheme="minorEastAsia"/>
        </w:rPr>
      </w:pPr>
    </w:p>
    <w:p w14:paraId="22E89353" w14:textId="54F07CA1" w:rsidR="00341D73" w:rsidRPr="00341D73" w:rsidRDefault="00341D73">
      <w:pPr>
        <w:pStyle w:val="TM1"/>
        <w:rPr>
          <w:rFonts w:eastAsiaTheme="minorEastAsia"/>
          <w:b w:val="0"/>
          <w:bCs w:val="0"/>
          <w:caps w:val="0"/>
          <w:color w:val="auto"/>
          <w:sz w:val="24"/>
          <w:szCs w:val="24"/>
        </w:rPr>
      </w:pPr>
      <w:hyperlink w:anchor="_Toc65687464" w:history="1">
        <w:r w:rsidRPr="00341D73">
          <w:rPr>
            <w:rStyle w:val="Lienhypertexte"/>
            <w:u w:val="none"/>
          </w:rPr>
          <w:t>TITRE V - SE NOURRIR</w:t>
        </w:r>
        <w:r w:rsidRPr="00341D73">
          <w:rPr>
            <w:webHidden/>
          </w:rPr>
          <w:tab/>
        </w:r>
        <w:r w:rsidRPr="00341D73">
          <w:rPr>
            <w:webHidden/>
          </w:rPr>
          <w:fldChar w:fldCharType="begin"/>
        </w:r>
        <w:r w:rsidRPr="00341D73">
          <w:rPr>
            <w:webHidden/>
          </w:rPr>
          <w:instrText xml:space="preserve"> PAGEREF _Toc65687464 \h </w:instrText>
        </w:r>
        <w:r w:rsidRPr="00341D73">
          <w:rPr>
            <w:webHidden/>
          </w:rPr>
        </w:r>
        <w:r w:rsidRPr="00341D73">
          <w:rPr>
            <w:webHidden/>
          </w:rPr>
          <w:fldChar w:fldCharType="separate"/>
        </w:r>
        <w:r w:rsidRPr="00341D73">
          <w:rPr>
            <w:webHidden/>
          </w:rPr>
          <w:t>42</w:t>
        </w:r>
        <w:r w:rsidRPr="00341D73">
          <w:rPr>
            <w:webHidden/>
          </w:rPr>
          <w:fldChar w:fldCharType="end"/>
        </w:r>
      </w:hyperlink>
    </w:p>
    <w:p w14:paraId="4F68AEF8" w14:textId="3403960C" w:rsidR="00341D73" w:rsidRPr="00341D73" w:rsidRDefault="00341D73">
      <w:pPr>
        <w:pStyle w:val="TM2"/>
        <w:rPr>
          <w:rFonts w:eastAsiaTheme="minorEastAsia"/>
          <w:smallCaps w:val="0"/>
          <w:color w:val="auto"/>
          <w:sz w:val="24"/>
          <w:szCs w:val="24"/>
        </w:rPr>
      </w:pPr>
      <w:hyperlink w:anchor="_Toc65687465" w:history="1">
        <w:r w:rsidRPr="00341D73">
          <w:rPr>
            <w:rStyle w:val="Lienhypertexte"/>
            <w:u w:val="none"/>
          </w:rPr>
          <w:t>Chapitre I</w:t>
        </w:r>
        <w:r w:rsidRPr="00341D73">
          <w:rPr>
            <w:rStyle w:val="Lienhypertexte"/>
            <w:u w:val="none"/>
            <w:vertAlign w:val="superscript"/>
          </w:rPr>
          <w:t>er</w:t>
        </w:r>
        <w:r w:rsidRPr="00341D73">
          <w:rPr>
            <w:rStyle w:val="Lienhypertexte"/>
            <w:u w:val="none"/>
          </w:rPr>
          <w:t xml:space="preserve"> - Soutenir une alimentation saine et durable peu émettrice de gaz à effet de serre pour tous</w:t>
        </w:r>
        <w:r w:rsidRPr="00341D73">
          <w:rPr>
            <w:webHidden/>
          </w:rPr>
          <w:tab/>
        </w:r>
        <w:r w:rsidRPr="00341D73">
          <w:rPr>
            <w:webHidden/>
          </w:rPr>
          <w:fldChar w:fldCharType="begin"/>
        </w:r>
        <w:r w:rsidRPr="00341D73">
          <w:rPr>
            <w:webHidden/>
          </w:rPr>
          <w:instrText xml:space="preserve"> PAGEREF _Toc65687465 \h </w:instrText>
        </w:r>
        <w:r w:rsidRPr="00341D73">
          <w:rPr>
            <w:webHidden/>
          </w:rPr>
        </w:r>
        <w:r w:rsidRPr="00341D73">
          <w:rPr>
            <w:webHidden/>
          </w:rPr>
          <w:fldChar w:fldCharType="separate"/>
        </w:r>
        <w:r w:rsidRPr="00341D73">
          <w:rPr>
            <w:webHidden/>
          </w:rPr>
          <w:t>42</w:t>
        </w:r>
        <w:r w:rsidRPr="00341D73">
          <w:rPr>
            <w:webHidden/>
          </w:rPr>
          <w:fldChar w:fldCharType="end"/>
        </w:r>
      </w:hyperlink>
    </w:p>
    <w:p w14:paraId="7E0D356F" w14:textId="2FE2E2ED" w:rsidR="00341D73" w:rsidRDefault="00341D73">
      <w:pPr>
        <w:pStyle w:val="TM3"/>
        <w:tabs>
          <w:tab w:val="right" w:leader="dot" w:pos="9056"/>
        </w:tabs>
        <w:rPr>
          <w:rStyle w:val="Lienhypertexte"/>
          <w:rFonts w:ascii="Arial" w:hAnsi="Arial" w:cs="Arial"/>
          <w:i w:val="0"/>
          <w:iCs w:val="0"/>
          <w:noProof/>
          <w:u w:val="none"/>
        </w:rPr>
      </w:pPr>
      <w:hyperlink w:anchor="_Toc65687466" w:history="1">
        <w:r w:rsidRPr="00341D73">
          <w:rPr>
            <w:rStyle w:val="Lienhypertexte"/>
            <w:rFonts w:ascii="Arial" w:eastAsia="Arial" w:hAnsi="Arial" w:cs="Arial"/>
            <w:i w:val="0"/>
            <w:iCs w:val="0"/>
            <w:noProof/>
            <w:u w:val="none"/>
          </w:rPr>
          <w:t>Amendement n°26 - Réduire le gaspillage alimentaire en encadrant nationalement les dates de durabilité minimale et les dates limites de consommation</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_Toc65687466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42</w:t>
        </w:r>
        <w:r w:rsidRPr="00341D73">
          <w:rPr>
            <w:rFonts w:ascii="Arial" w:hAnsi="Arial" w:cs="Arial"/>
            <w:i w:val="0"/>
            <w:iCs w:val="0"/>
            <w:noProof/>
            <w:webHidden/>
          </w:rPr>
          <w:fldChar w:fldCharType="end"/>
        </w:r>
      </w:hyperlink>
    </w:p>
    <w:p w14:paraId="2E286FEC" w14:textId="77777777" w:rsidR="00341D73" w:rsidRPr="00341D73" w:rsidRDefault="00341D73" w:rsidP="00341D73">
      <w:pPr>
        <w:rPr>
          <w:rFonts w:eastAsiaTheme="minorEastAsia"/>
        </w:rPr>
      </w:pPr>
    </w:p>
    <w:p w14:paraId="5BC7DF41" w14:textId="18D91850" w:rsidR="00341D73" w:rsidRPr="00341D73" w:rsidRDefault="00341D73">
      <w:pPr>
        <w:pStyle w:val="TM2"/>
        <w:rPr>
          <w:rFonts w:eastAsiaTheme="minorEastAsia"/>
          <w:smallCaps w:val="0"/>
          <w:color w:val="auto"/>
          <w:sz w:val="24"/>
          <w:szCs w:val="24"/>
        </w:rPr>
      </w:pPr>
      <w:hyperlink w:anchor="_Toc65687467" w:history="1">
        <w:r w:rsidRPr="00341D73">
          <w:rPr>
            <w:rStyle w:val="Lienhypertexte"/>
            <w:u w:val="none"/>
          </w:rPr>
          <w:t>Chapitre II – Développer l’agroécologie</w:t>
        </w:r>
        <w:r w:rsidRPr="00341D73">
          <w:rPr>
            <w:webHidden/>
          </w:rPr>
          <w:tab/>
        </w:r>
        <w:r w:rsidRPr="00341D73">
          <w:rPr>
            <w:webHidden/>
          </w:rPr>
          <w:fldChar w:fldCharType="begin"/>
        </w:r>
        <w:r w:rsidRPr="00341D73">
          <w:rPr>
            <w:webHidden/>
          </w:rPr>
          <w:instrText xml:space="preserve"> PAGEREF _Toc65687467 \h </w:instrText>
        </w:r>
        <w:r w:rsidRPr="00341D73">
          <w:rPr>
            <w:webHidden/>
          </w:rPr>
        </w:r>
        <w:r w:rsidRPr="00341D73">
          <w:rPr>
            <w:webHidden/>
          </w:rPr>
          <w:fldChar w:fldCharType="separate"/>
        </w:r>
        <w:r w:rsidRPr="00341D73">
          <w:rPr>
            <w:webHidden/>
          </w:rPr>
          <w:t>43</w:t>
        </w:r>
        <w:r w:rsidRPr="00341D73">
          <w:rPr>
            <w:webHidden/>
          </w:rPr>
          <w:fldChar w:fldCharType="end"/>
        </w:r>
      </w:hyperlink>
    </w:p>
    <w:p w14:paraId="1DCCAB3D" w14:textId="605A71B2" w:rsidR="00341D73" w:rsidRDefault="00341D73">
      <w:pPr>
        <w:pStyle w:val="TM3"/>
        <w:tabs>
          <w:tab w:val="right" w:leader="dot" w:pos="9056"/>
        </w:tabs>
        <w:rPr>
          <w:rStyle w:val="Lienhypertexte"/>
          <w:rFonts w:ascii="Arial" w:hAnsi="Arial" w:cs="Arial"/>
          <w:i w:val="0"/>
          <w:iCs w:val="0"/>
          <w:noProof/>
          <w:u w:val="none"/>
        </w:rPr>
      </w:pPr>
      <w:hyperlink w:anchor="_Toc65687468" w:history="1">
        <w:r w:rsidRPr="00341D73">
          <w:rPr>
            <w:rStyle w:val="Lienhypertexte"/>
            <w:rFonts w:ascii="Arial" w:hAnsi="Arial" w:cs="Arial"/>
            <w:i w:val="0"/>
            <w:iCs w:val="0"/>
            <w:noProof/>
            <w:u w:val="none"/>
          </w:rPr>
          <w:t>Amendement n°27 - Mettre en place une stratégie de préservation de la fertilité des sols</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_Toc65687468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43</w:t>
        </w:r>
        <w:r w:rsidRPr="00341D73">
          <w:rPr>
            <w:rFonts w:ascii="Arial" w:hAnsi="Arial" w:cs="Arial"/>
            <w:i w:val="0"/>
            <w:iCs w:val="0"/>
            <w:noProof/>
            <w:webHidden/>
          </w:rPr>
          <w:fldChar w:fldCharType="end"/>
        </w:r>
      </w:hyperlink>
    </w:p>
    <w:p w14:paraId="08C8A604" w14:textId="77777777" w:rsidR="00341D73" w:rsidRPr="00341D73" w:rsidRDefault="00341D73" w:rsidP="00341D73">
      <w:pPr>
        <w:rPr>
          <w:rFonts w:eastAsiaTheme="minorEastAsia"/>
        </w:rPr>
      </w:pPr>
    </w:p>
    <w:p w14:paraId="4FD208D8" w14:textId="00208464" w:rsidR="00341D73" w:rsidRPr="00341D73" w:rsidRDefault="00341D73">
      <w:pPr>
        <w:pStyle w:val="TM1"/>
        <w:rPr>
          <w:rFonts w:eastAsiaTheme="minorEastAsia"/>
          <w:b w:val="0"/>
          <w:bCs w:val="0"/>
          <w:caps w:val="0"/>
          <w:color w:val="auto"/>
          <w:sz w:val="24"/>
          <w:szCs w:val="24"/>
        </w:rPr>
      </w:pPr>
      <w:hyperlink w:anchor="_Toc65687469" w:history="1">
        <w:r w:rsidRPr="00341D73">
          <w:rPr>
            <w:rStyle w:val="Lienhypertexte"/>
            <w:u w:val="none"/>
          </w:rPr>
          <w:t>TITRE VI - RENFORCER LA PROTECTION JUDICIAIRE DE L'ENVIRONNEMENT</w:t>
        </w:r>
        <w:r w:rsidRPr="00341D73">
          <w:rPr>
            <w:webHidden/>
          </w:rPr>
          <w:tab/>
        </w:r>
        <w:r w:rsidRPr="00341D73">
          <w:rPr>
            <w:webHidden/>
          </w:rPr>
          <w:fldChar w:fldCharType="begin"/>
        </w:r>
        <w:r w:rsidRPr="00341D73">
          <w:rPr>
            <w:webHidden/>
          </w:rPr>
          <w:instrText xml:space="preserve"> PAGEREF _Toc65687469 \h </w:instrText>
        </w:r>
        <w:r w:rsidRPr="00341D73">
          <w:rPr>
            <w:webHidden/>
          </w:rPr>
        </w:r>
        <w:r w:rsidRPr="00341D73">
          <w:rPr>
            <w:webHidden/>
          </w:rPr>
          <w:fldChar w:fldCharType="separate"/>
        </w:r>
        <w:r w:rsidRPr="00341D73">
          <w:rPr>
            <w:webHidden/>
          </w:rPr>
          <w:t>44</w:t>
        </w:r>
        <w:r w:rsidRPr="00341D73">
          <w:rPr>
            <w:webHidden/>
          </w:rPr>
          <w:fldChar w:fldCharType="end"/>
        </w:r>
      </w:hyperlink>
    </w:p>
    <w:p w14:paraId="47AA1D76" w14:textId="5A7F4AAB"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70" w:history="1">
        <w:r w:rsidRPr="00341D73">
          <w:rPr>
            <w:rStyle w:val="Lienhypertexte"/>
            <w:rFonts w:ascii="Arial" w:eastAsia="Arial" w:hAnsi="Arial" w:cs="Arial"/>
            <w:i w:val="0"/>
            <w:iCs w:val="0"/>
            <w:noProof/>
            <w:u w:val="none"/>
          </w:rPr>
          <w:t>Amendement n°28 (Prioritaire) - Créer une grande loi de financement de la transition écologique</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_Toc65687470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44</w:t>
        </w:r>
        <w:r w:rsidRPr="00341D73">
          <w:rPr>
            <w:rFonts w:ascii="Arial" w:hAnsi="Arial" w:cs="Arial"/>
            <w:i w:val="0"/>
            <w:iCs w:val="0"/>
            <w:noProof/>
            <w:webHidden/>
          </w:rPr>
          <w:fldChar w:fldCharType="end"/>
        </w:r>
      </w:hyperlink>
    </w:p>
    <w:p w14:paraId="64390D49" w14:textId="60A24676" w:rsidR="00341D73" w:rsidRPr="00341D73" w:rsidRDefault="00341D73">
      <w:pPr>
        <w:pStyle w:val="TM3"/>
        <w:tabs>
          <w:tab w:val="right" w:leader="dot" w:pos="9056"/>
        </w:tabs>
        <w:rPr>
          <w:rFonts w:ascii="Arial" w:eastAsiaTheme="minorEastAsia" w:hAnsi="Arial" w:cs="Arial"/>
          <w:i w:val="0"/>
          <w:iCs w:val="0"/>
          <w:noProof/>
          <w:sz w:val="24"/>
          <w:szCs w:val="24"/>
        </w:rPr>
      </w:pPr>
      <w:hyperlink w:anchor="_Toc65687471" w:history="1">
        <w:r w:rsidRPr="00341D73">
          <w:rPr>
            <w:rStyle w:val="Lienhypertexte"/>
            <w:rFonts w:ascii="Arial" w:eastAsia="Arial" w:hAnsi="Arial" w:cs="Arial"/>
            <w:i w:val="0"/>
            <w:iCs w:val="0"/>
            <w:noProof/>
            <w:u w:val="none"/>
          </w:rPr>
          <w:t>Amendement n°29 - Rendre plus effective la verbalisation des dépôts sauvages</w:t>
        </w:r>
        <w:r w:rsidRPr="00341D73">
          <w:rPr>
            <w:rFonts w:ascii="Arial" w:hAnsi="Arial" w:cs="Arial"/>
            <w:i w:val="0"/>
            <w:iCs w:val="0"/>
            <w:noProof/>
            <w:webHidden/>
          </w:rPr>
          <w:tab/>
        </w:r>
        <w:r w:rsidRPr="00341D73">
          <w:rPr>
            <w:rFonts w:ascii="Arial" w:hAnsi="Arial" w:cs="Arial"/>
            <w:i w:val="0"/>
            <w:iCs w:val="0"/>
            <w:noProof/>
            <w:webHidden/>
          </w:rPr>
          <w:fldChar w:fldCharType="begin"/>
        </w:r>
        <w:r w:rsidRPr="00341D73">
          <w:rPr>
            <w:rFonts w:ascii="Arial" w:hAnsi="Arial" w:cs="Arial"/>
            <w:i w:val="0"/>
            <w:iCs w:val="0"/>
            <w:noProof/>
            <w:webHidden/>
          </w:rPr>
          <w:instrText xml:space="preserve"> PAGEREF _Toc65687471 \h </w:instrText>
        </w:r>
        <w:r w:rsidRPr="00341D73">
          <w:rPr>
            <w:rFonts w:ascii="Arial" w:hAnsi="Arial" w:cs="Arial"/>
            <w:i w:val="0"/>
            <w:iCs w:val="0"/>
            <w:noProof/>
            <w:webHidden/>
          </w:rPr>
        </w:r>
        <w:r w:rsidRPr="00341D73">
          <w:rPr>
            <w:rFonts w:ascii="Arial" w:hAnsi="Arial" w:cs="Arial"/>
            <w:i w:val="0"/>
            <w:iCs w:val="0"/>
            <w:noProof/>
            <w:webHidden/>
          </w:rPr>
          <w:fldChar w:fldCharType="separate"/>
        </w:r>
        <w:r w:rsidRPr="00341D73">
          <w:rPr>
            <w:rFonts w:ascii="Arial" w:hAnsi="Arial" w:cs="Arial"/>
            <w:i w:val="0"/>
            <w:iCs w:val="0"/>
            <w:noProof/>
            <w:webHidden/>
          </w:rPr>
          <w:t>46</w:t>
        </w:r>
        <w:r w:rsidRPr="00341D73">
          <w:rPr>
            <w:rFonts w:ascii="Arial" w:hAnsi="Arial" w:cs="Arial"/>
            <w:i w:val="0"/>
            <w:iCs w:val="0"/>
            <w:noProof/>
            <w:webHidden/>
          </w:rPr>
          <w:fldChar w:fldCharType="end"/>
        </w:r>
      </w:hyperlink>
    </w:p>
    <w:p w14:paraId="22EF8D65" w14:textId="7BBF860D" w:rsidR="00DC248C" w:rsidRPr="00341D73" w:rsidRDefault="00DC248C">
      <w:pPr>
        <w:pBdr>
          <w:top w:val="none" w:sz="0" w:space="0" w:color="000000"/>
          <w:left w:val="none" w:sz="0" w:space="0" w:color="000000"/>
          <w:bottom w:val="none" w:sz="0" w:space="0" w:color="000000"/>
          <w:right w:val="none" w:sz="0" w:space="0" w:color="000000"/>
          <w:between w:val="none" w:sz="0" w:space="0" w:color="000000"/>
        </w:pBdr>
        <w:rPr>
          <w:rFonts w:eastAsia="Arial" w:cs="Arial"/>
          <w:b/>
          <w:color w:val="1F497D" w:themeColor="text2"/>
          <w:sz w:val="20"/>
          <w:szCs w:val="20"/>
        </w:rPr>
      </w:pPr>
      <w:r w:rsidRPr="00341D73">
        <w:rPr>
          <w:rFonts w:cs="Arial"/>
          <w:sz w:val="20"/>
          <w:szCs w:val="20"/>
        </w:rPr>
        <w:fldChar w:fldCharType="end"/>
      </w:r>
      <w:r w:rsidRPr="00341D73">
        <w:rPr>
          <w:rFonts w:cs="Arial"/>
          <w:sz w:val="20"/>
          <w:szCs w:val="20"/>
        </w:rPr>
        <w:br w:type="page"/>
      </w:r>
    </w:p>
    <w:p w14:paraId="0006E5E5" w14:textId="0F9003D4" w:rsidR="00501FB8" w:rsidRDefault="00F63BB8" w:rsidP="00503E7B">
      <w:pPr>
        <w:pStyle w:val="SECTION"/>
      </w:pPr>
      <w:bookmarkStart w:id="1" w:name="_Toc65687430"/>
      <w:r>
        <w:lastRenderedPageBreak/>
        <w:t xml:space="preserve">TITRE I </w:t>
      </w:r>
      <w:r w:rsidR="00503E7B">
        <w:t xml:space="preserve">- </w:t>
      </w:r>
      <w:r>
        <w:t>CONSOMMER</w:t>
      </w:r>
      <w:bookmarkEnd w:id="0"/>
      <w:bookmarkEnd w:id="1"/>
    </w:p>
    <w:p w14:paraId="23AE29D5"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color w:val="6EBC57"/>
          <w:sz w:val="28"/>
          <w:szCs w:val="28"/>
        </w:rPr>
      </w:pPr>
    </w:p>
    <w:p w14:paraId="6B87873A" w14:textId="466A7B0F" w:rsidR="00501FB8" w:rsidRDefault="00F63BB8" w:rsidP="00B3005A">
      <w:pPr>
        <w:pStyle w:val="SOUSTITRE2"/>
      </w:pPr>
      <w:bookmarkStart w:id="2" w:name="_Toc65492952"/>
      <w:bookmarkStart w:id="3" w:name="_Toc65685654"/>
      <w:bookmarkStart w:id="4" w:name="_Toc65687431"/>
      <w:r>
        <w:t xml:space="preserve">Chapitre </w:t>
      </w:r>
      <w:r w:rsidR="00503E7B">
        <w:t>II</w:t>
      </w:r>
      <w:r>
        <w:t xml:space="preserve"> </w:t>
      </w:r>
      <w:r w:rsidR="00503E7B">
        <w:t>-</w:t>
      </w:r>
      <w:r>
        <w:t xml:space="preserve"> Encadrer et réguler la publicité</w:t>
      </w:r>
      <w:bookmarkEnd w:id="2"/>
      <w:bookmarkEnd w:id="3"/>
      <w:bookmarkEnd w:id="4"/>
    </w:p>
    <w:p w14:paraId="495BA20C" w14:textId="77777777" w:rsidR="00501FB8" w:rsidRDefault="00501FB8">
      <w:pPr>
        <w:jc w:val="center"/>
        <w:rPr>
          <w:rFonts w:eastAsia="Arial" w:cs="Arial"/>
          <w:b/>
          <w:color w:val="6EBC57"/>
          <w:sz w:val="28"/>
          <w:szCs w:val="28"/>
        </w:rPr>
      </w:pPr>
    </w:p>
    <w:p w14:paraId="5B648870"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color w:val="6EBC57"/>
          <w:sz w:val="28"/>
          <w:szCs w:val="28"/>
        </w:rPr>
      </w:pPr>
    </w:p>
    <w:p w14:paraId="1C1F0AE7" w14:textId="2C30E35B" w:rsidR="00501FB8" w:rsidRPr="00C477A6" w:rsidRDefault="00F63BB8" w:rsidP="00C477A6">
      <w:pPr>
        <w:pStyle w:val="Sansinterligne"/>
        <w:rPr>
          <w:rFonts w:eastAsia="Arial"/>
        </w:rPr>
      </w:pPr>
      <w:bookmarkStart w:id="5" w:name="_Toc65685016"/>
      <w:bookmarkStart w:id="6" w:name="_Toc65685655"/>
      <w:bookmarkStart w:id="7" w:name="_Toc65687432"/>
      <w:r w:rsidRPr="00C477A6">
        <w:rPr>
          <w:rFonts w:eastAsia="Arial"/>
        </w:rPr>
        <w:t>Amendement n°1</w:t>
      </w:r>
      <w:r w:rsidR="00F46E87" w:rsidRPr="00C477A6">
        <w:rPr>
          <w:rFonts w:eastAsia="Arial"/>
        </w:rPr>
        <w:t xml:space="preserve"> - </w:t>
      </w:r>
      <w:r w:rsidRPr="00C477A6">
        <w:rPr>
          <w:rFonts w:eastAsia="Arial"/>
        </w:rPr>
        <w:t>Préciser les modalités d’expérimentation du dispositif “Oui pub” dans les collectivités territoriales</w:t>
      </w:r>
      <w:bookmarkEnd w:id="5"/>
      <w:bookmarkEnd w:id="6"/>
      <w:bookmarkEnd w:id="7"/>
    </w:p>
    <w:p w14:paraId="6DF207EC" w14:textId="77777777" w:rsidR="00501FB8" w:rsidRDefault="00501FB8">
      <w:pPr>
        <w:jc w:val="center"/>
        <w:rPr>
          <w:rFonts w:eastAsia="Arial" w:cs="Arial"/>
          <w:b/>
          <w:szCs w:val="22"/>
        </w:rPr>
      </w:pPr>
    </w:p>
    <w:p w14:paraId="7926D7ED" w14:textId="77777777" w:rsidR="00501FB8" w:rsidRDefault="00F63BB8">
      <w:pPr>
        <w:jc w:val="center"/>
        <w:rPr>
          <w:rFonts w:eastAsia="Arial" w:cs="Arial"/>
          <w:szCs w:val="22"/>
        </w:rPr>
      </w:pPr>
      <w:r>
        <w:rPr>
          <w:rFonts w:eastAsia="Arial" w:cs="Arial"/>
          <w:szCs w:val="22"/>
        </w:rPr>
        <w:t>Présenté par</w:t>
      </w:r>
    </w:p>
    <w:p w14:paraId="62368E37" w14:textId="77777777" w:rsidR="00501FB8" w:rsidRDefault="00F63BB8">
      <w:pPr>
        <w:jc w:val="center"/>
        <w:rPr>
          <w:rFonts w:eastAsia="Arial" w:cs="Arial"/>
          <w:b/>
          <w:szCs w:val="22"/>
        </w:rPr>
      </w:pPr>
      <w:r>
        <w:rPr>
          <w:rFonts w:eastAsia="Arial" w:cs="Arial"/>
          <w:b/>
          <w:szCs w:val="22"/>
        </w:rPr>
        <w:t xml:space="preserve">…... </w:t>
      </w:r>
    </w:p>
    <w:p w14:paraId="61FABC34" w14:textId="77777777" w:rsidR="00501FB8" w:rsidRDefault="00501FB8">
      <w:pPr>
        <w:jc w:val="center"/>
        <w:rPr>
          <w:rFonts w:eastAsia="Arial" w:cs="Arial"/>
          <w:b/>
          <w:color w:val="6EBC57"/>
          <w:sz w:val="28"/>
          <w:szCs w:val="28"/>
        </w:rPr>
      </w:pPr>
    </w:p>
    <w:p w14:paraId="6B130A21" w14:textId="77777777" w:rsidR="00501FB8" w:rsidRDefault="00F63BB8">
      <w:pPr>
        <w:jc w:val="center"/>
        <w:rPr>
          <w:rFonts w:eastAsia="Arial" w:cs="Arial"/>
          <w:szCs w:val="22"/>
        </w:rPr>
      </w:pPr>
      <w:r>
        <w:rPr>
          <w:rFonts w:eastAsia="Arial" w:cs="Arial"/>
          <w:szCs w:val="22"/>
        </w:rPr>
        <w:t>Modifier l’article 9</w:t>
      </w:r>
    </w:p>
    <w:p w14:paraId="54787BC3" w14:textId="77777777" w:rsidR="00501FB8" w:rsidRDefault="00501FB8">
      <w:pPr>
        <w:jc w:val="center"/>
        <w:rPr>
          <w:rFonts w:eastAsia="Arial" w:cs="Arial"/>
          <w:szCs w:val="22"/>
        </w:rPr>
      </w:pPr>
    </w:p>
    <w:p w14:paraId="2D30D7B6" w14:textId="77777777" w:rsidR="00501FB8" w:rsidRDefault="00F63BB8">
      <w:pPr>
        <w:rPr>
          <w:rFonts w:eastAsia="Arial" w:cs="Arial"/>
          <w:szCs w:val="22"/>
        </w:rPr>
      </w:pPr>
      <w:r>
        <w:rPr>
          <w:rFonts w:eastAsia="Arial" w:cs="Arial"/>
          <w:szCs w:val="22"/>
        </w:rPr>
        <w:t>A l’article 9, insérer un paragraphe additionnel ainsi rédigé :</w:t>
      </w:r>
    </w:p>
    <w:p w14:paraId="45D01BDC" w14:textId="77777777" w:rsidR="00501FB8" w:rsidRDefault="00501FB8">
      <w:pPr>
        <w:rPr>
          <w:rFonts w:eastAsia="Arial" w:cs="Arial"/>
          <w:b/>
          <w:color w:val="6EBC57"/>
          <w:sz w:val="28"/>
          <w:szCs w:val="28"/>
        </w:rPr>
      </w:pPr>
    </w:p>
    <w:p w14:paraId="5BC9B058" w14:textId="77777777" w:rsidR="00501FB8" w:rsidRDefault="00F63BB8">
      <w:pPr>
        <w:jc w:val="both"/>
        <w:rPr>
          <w:rFonts w:eastAsia="Arial" w:cs="Arial"/>
          <w:szCs w:val="22"/>
        </w:rPr>
      </w:pPr>
      <w:r>
        <w:rPr>
          <w:rFonts w:eastAsia="Arial" w:cs="Arial"/>
          <w:szCs w:val="22"/>
        </w:rPr>
        <w:t>4 - Le décret fixe une obligation de réduction de 25% des imprimés publicitaires non adressés d’ici à 2025 pour les émetteurs. Il définit les modalités de contrôle de cette obligation mis en place par les éco-organismes compétents ainsi que les moyens de sanctions en cas de non-respect des objectifs.</w:t>
      </w:r>
    </w:p>
    <w:p w14:paraId="637F0F9C" w14:textId="77777777" w:rsidR="00501FB8" w:rsidRDefault="00501FB8">
      <w:pPr>
        <w:jc w:val="both"/>
        <w:rPr>
          <w:rFonts w:eastAsia="Arial" w:cs="Arial"/>
          <w:szCs w:val="22"/>
        </w:rPr>
      </w:pPr>
    </w:p>
    <w:p w14:paraId="1C86C63D" w14:textId="77777777" w:rsidR="00501FB8" w:rsidRDefault="00F63BB8">
      <w:pPr>
        <w:jc w:val="center"/>
        <w:rPr>
          <w:rFonts w:eastAsia="Arial" w:cs="Arial"/>
          <w:b/>
          <w:szCs w:val="22"/>
        </w:rPr>
      </w:pPr>
      <w:r>
        <w:rPr>
          <w:rFonts w:eastAsia="Arial" w:cs="Arial"/>
          <w:b/>
          <w:szCs w:val="22"/>
        </w:rPr>
        <w:t>Exposé sommaire</w:t>
      </w:r>
    </w:p>
    <w:p w14:paraId="796FE195" w14:textId="77777777" w:rsidR="00501FB8" w:rsidRDefault="00501FB8">
      <w:pPr>
        <w:rPr>
          <w:rFonts w:eastAsia="Arial" w:cs="Arial"/>
          <w:b/>
          <w:color w:val="6EBC57"/>
          <w:sz w:val="28"/>
          <w:szCs w:val="28"/>
        </w:rPr>
      </w:pPr>
    </w:p>
    <w:p w14:paraId="542DFFA6" w14:textId="77777777" w:rsidR="00501FB8" w:rsidRDefault="00F63BB8">
      <w:pPr>
        <w:jc w:val="both"/>
        <w:rPr>
          <w:rFonts w:eastAsia="Arial" w:cs="Arial"/>
          <w:b/>
          <w:color w:val="6EBC57"/>
          <w:sz w:val="28"/>
          <w:szCs w:val="28"/>
        </w:rPr>
      </w:pPr>
      <w:r>
        <w:rPr>
          <w:rFonts w:eastAsia="Arial" w:cs="Arial"/>
          <w:szCs w:val="22"/>
        </w:rPr>
        <w:t>Cet amendement vise à préciser l’ambition du dispositif expérimental “Oui pub” dans les territoires volontaires avec des objectifs chiffrés de réduction des imprimés publicitaires papiers et cartons non adressés et la mise en place de modalités de contrôle et de suivi de ces obligations par les éco-organismes compétents.</w:t>
      </w:r>
    </w:p>
    <w:p w14:paraId="03B55A27" w14:textId="77777777" w:rsidR="00501FB8" w:rsidRDefault="00501FB8">
      <w:pPr>
        <w:rPr>
          <w:rFonts w:eastAsia="Arial" w:cs="Arial"/>
          <w:b/>
          <w:color w:val="6EBC57"/>
          <w:sz w:val="28"/>
          <w:szCs w:val="28"/>
        </w:rPr>
      </w:pPr>
    </w:p>
    <w:p w14:paraId="5F502B49"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color w:val="6EBC57"/>
          <w:sz w:val="28"/>
          <w:szCs w:val="28"/>
        </w:rPr>
      </w:pPr>
      <w:r>
        <w:br w:type="page"/>
      </w:r>
    </w:p>
    <w:p w14:paraId="2199744D" w14:textId="13B22645" w:rsidR="00501FB8" w:rsidRDefault="00F63BB8" w:rsidP="00B3005A">
      <w:pPr>
        <w:pStyle w:val="SOUSTITRE2"/>
        <w:rPr>
          <w:sz w:val="20"/>
          <w:szCs w:val="20"/>
        </w:rPr>
      </w:pPr>
      <w:bookmarkStart w:id="8" w:name="_Toc65492953"/>
      <w:bookmarkStart w:id="9" w:name="_Toc65685656"/>
      <w:bookmarkStart w:id="10" w:name="_Toc65687433"/>
      <w:r>
        <w:lastRenderedPageBreak/>
        <w:t xml:space="preserve">Chapitre </w:t>
      </w:r>
      <w:r w:rsidR="00503E7B">
        <w:t>III -</w:t>
      </w:r>
      <w:r>
        <w:t xml:space="preserve"> Accélérer le développement de la vente en vrac et de la consigne en verre</w:t>
      </w:r>
      <w:bookmarkEnd w:id="8"/>
      <w:bookmarkEnd w:id="9"/>
      <w:bookmarkEnd w:id="10"/>
    </w:p>
    <w:p w14:paraId="170F6D37"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spacing w:line="276" w:lineRule="auto"/>
        <w:rPr>
          <w:rFonts w:eastAsia="Arial" w:cs="Arial"/>
          <w:b/>
          <w:szCs w:val="22"/>
        </w:rPr>
      </w:pPr>
    </w:p>
    <w:p w14:paraId="09322AAF" w14:textId="1E921869" w:rsidR="00501FB8" w:rsidRPr="00F46E87" w:rsidRDefault="00F63BB8" w:rsidP="00F46E87">
      <w:pPr>
        <w:pStyle w:val="Sansinterligne"/>
        <w:rPr>
          <w:rFonts w:eastAsia="Arial" w:cs="Arial"/>
          <w:szCs w:val="22"/>
        </w:rPr>
      </w:pPr>
      <w:bookmarkStart w:id="11" w:name="_Toc65685017"/>
      <w:bookmarkStart w:id="12" w:name="_Toc65685657"/>
      <w:bookmarkStart w:id="13" w:name="_Toc65687434"/>
      <w:r>
        <w:rPr>
          <w:rFonts w:eastAsia="Arial" w:cs="Arial"/>
          <w:szCs w:val="22"/>
        </w:rPr>
        <w:t xml:space="preserve">Amendement n°2 </w:t>
      </w:r>
      <w:r w:rsidR="00F46E87">
        <w:rPr>
          <w:rFonts w:eastAsia="Arial" w:cs="Arial"/>
          <w:szCs w:val="22"/>
        </w:rPr>
        <w:t>(Prioritaire)</w:t>
      </w:r>
      <w:r>
        <w:rPr>
          <w:rFonts w:eastAsia="Arial" w:cs="Arial"/>
          <w:szCs w:val="22"/>
        </w:rPr>
        <w:t xml:space="preserve"> </w:t>
      </w:r>
      <w:r w:rsidR="00F46E87">
        <w:rPr>
          <w:rFonts w:eastAsia="Arial" w:cs="Arial"/>
          <w:szCs w:val="22"/>
        </w:rPr>
        <w:t xml:space="preserve">- </w:t>
      </w:r>
      <w:r w:rsidRPr="00503E7B">
        <w:rPr>
          <w:rFonts w:eastAsia="Arial"/>
        </w:rPr>
        <w:t>Mettre en place une éco-contribution sur tous les produits manufacturés non recyclables qui sera réaffectée au financement du service public de gestion des déchets</w:t>
      </w:r>
      <w:bookmarkEnd w:id="11"/>
      <w:bookmarkEnd w:id="12"/>
      <w:bookmarkEnd w:id="13"/>
      <w:r w:rsidRPr="00503E7B">
        <w:rPr>
          <w:rFonts w:eastAsia="Arial"/>
        </w:rPr>
        <w:t xml:space="preserve"> </w:t>
      </w:r>
    </w:p>
    <w:p w14:paraId="649C3784" w14:textId="77777777" w:rsidR="00501FB8" w:rsidRDefault="00501FB8">
      <w:pPr>
        <w:jc w:val="center"/>
        <w:rPr>
          <w:rFonts w:eastAsia="Arial" w:cs="Arial"/>
          <w:b/>
          <w:szCs w:val="22"/>
        </w:rPr>
      </w:pPr>
    </w:p>
    <w:p w14:paraId="580AA8C8"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Arial" w:cs="Arial"/>
          <w:szCs w:val="22"/>
        </w:rPr>
      </w:pPr>
      <w:r>
        <w:rPr>
          <w:rFonts w:eastAsia="Arial" w:cs="Arial"/>
          <w:szCs w:val="22"/>
        </w:rPr>
        <w:t>Présenté par</w:t>
      </w:r>
    </w:p>
    <w:p w14:paraId="2BF9D4BA"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Arial" w:cs="Arial"/>
          <w:b/>
          <w:szCs w:val="22"/>
        </w:rPr>
      </w:pPr>
      <w:r>
        <w:rPr>
          <w:rFonts w:eastAsia="Arial" w:cs="Arial"/>
          <w:szCs w:val="22"/>
        </w:rPr>
        <w:t>……...</w:t>
      </w:r>
    </w:p>
    <w:p w14:paraId="2A62B5C5" w14:textId="77777777" w:rsidR="00501FB8" w:rsidRDefault="00501FB8">
      <w:pPr>
        <w:jc w:val="center"/>
        <w:rPr>
          <w:rFonts w:eastAsia="Arial" w:cs="Arial"/>
          <w:szCs w:val="22"/>
        </w:rPr>
      </w:pPr>
    </w:p>
    <w:p w14:paraId="27E40402" w14:textId="1397A759" w:rsidR="00501FB8" w:rsidRDefault="00F46E87">
      <w:pPr>
        <w:jc w:val="center"/>
        <w:rPr>
          <w:rFonts w:eastAsia="Arial" w:cs="Arial"/>
          <w:szCs w:val="22"/>
        </w:rPr>
      </w:pPr>
      <w:r>
        <w:rPr>
          <w:rFonts w:eastAsia="Arial" w:cs="Arial"/>
          <w:szCs w:val="22"/>
        </w:rPr>
        <w:t>Article</w:t>
      </w:r>
      <w:r w:rsidR="00F63BB8">
        <w:rPr>
          <w:rFonts w:eastAsia="Arial" w:cs="Arial"/>
          <w:szCs w:val="22"/>
        </w:rPr>
        <w:t xml:space="preserve"> additionnel</w:t>
      </w:r>
    </w:p>
    <w:p w14:paraId="169D5B32" w14:textId="5E467549" w:rsidR="00F46E87" w:rsidRDefault="00F46E87" w:rsidP="00F46E87">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Arial" w:cs="Arial"/>
          <w:szCs w:val="22"/>
        </w:rPr>
      </w:pPr>
      <w:r>
        <w:rPr>
          <w:rFonts w:eastAsia="Arial" w:cs="Arial"/>
          <w:szCs w:val="22"/>
        </w:rPr>
        <w:t>A</w:t>
      </w:r>
      <w:r w:rsidR="00F63BB8">
        <w:rPr>
          <w:rFonts w:eastAsia="Arial" w:cs="Arial"/>
          <w:szCs w:val="22"/>
        </w:rPr>
        <w:t>près l’article 12</w:t>
      </w:r>
      <w:r>
        <w:rPr>
          <w:rFonts w:eastAsia="Arial" w:cs="Arial"/>
          <w:szCs w:val="22"/>
        </w:rPr>
        <w:t>, insérer un article supplémentaire ainsi rédigé :</w:t>
      </w:r>
    </w:p>
    <w:p w14:paraId="717A9877" w14:textId="2DC04EF4" w:rsidR="00501FB8" w:rsidRDefault="00501FB8">
      <w:pPr>
        <w:spacing w:line="276" w:lineRule="auto"/>
        <w:jc w:val="center"/>
        <w:rPr>
          <w:rFonts w:eastAsia="Arial" w:cs="Arial"/>
          <w:color w:val="FF0000"/>
          <w:szCs w:val="22"/>
        </w:rPr>
      </w:pPr>
    </w:p>
    <w:p w14:paraId="073801F9"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Arial" w:cs="Arial"/>
          <w:b/>
          <w:szCs w:val="22"/>
          <w:u w:val="single"/>
        </w:rPr>
      </w:pPr>
    </w:p>
    <w:p w14:paraId="0AB060F0"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Arial" w:cs="Arial"/>
          <w:b/>
          <w:szCs w:val="22"/>
          <w:u w:val="single"/>
        </w:rPr>
      </w:pPr>
      <w:r>
        <w:rPr>
          <w:rFonts w:eastAsia="Arial" w:cs="Arial"/>
          <w:b/>
          <w:szCs w:val="22"/>
          <w:u w:val="single"/>
        </w:rPr>
        <w:t>Dispositif</w:t>
      </w:r>
    </w:p>
    <w:p w14:paraId="6F321B86"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spacing w:line="276" w:lineRule="auto"/>
        <w:rPr>
          <w:rFonts w:eastAsia="Arial" w:cs="Arial"/>
          <w:szCs w:val="22"/>
        </w:rPr>
      </w:pPr>
    </w:p>
    <w:p w14:paraId="7056D844"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rPr>
          <w:rFonts w:eastAsia="Arial" w:cs="Arial"/>
          <w:szCs w:val="22"/>
        </w:rPr>
      </w:pPr>
      <w:r>
        <w:rPr>
          <w:rFonts w:eastAsia="Arial" w:cs="Arial"/>
          <w:szCs w:val="22"/>
        </w:rPr>
        <w:t>A l’article L. 541-10-1 du code de l’environnement, après le 22°, intégrer l’alinéa suivant :</w:t>
      </w:r>
    </w:p>
    <w:p w14:paraId="4EB39AD1"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spacing w:line="276" w:lineRule="auto"/>
        <w:rPr>
          <w:rFonts w:eastAsia="Arial" w:cs="Arial"/>
          <w:szCs w:val="22"/>
          <w:highlight w:val="yellow"/>
        </w:rPr>
      </w:pPr>
    </w:p>
    <w:p w14:paraId="5B473657"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eastAsia="Arial" w:cs="Arial"/>
          <w:szCs w:val="22"/>
        </w:rPr>
      </w:pPr>
      <w:r>
        <w:rPr>
          <w:rFonts w:eastAsia="Arial" w:cs="Arial"/>
          <w:szCs w:val="22"/>
        </w:rPr>
        <w:t xml:space="preserve">“23° A compter du premier janvier 2021, tout produit non </w:t>
      </w:r>
      <w:proofErr w:type="gramStart"/>
      <w:r>
        <w:rPr>
          <w:rFonts w:eastAsia="Arial" w:cs="Arial"/>
          <w:szCs w:val="22"/>
        </w:rPr>
        <w:t>mentionné</w:t>
      </w:r>
      <w:proofErr w:type="gramEnd"/>
      <w:r>
        <w:rPr>
          <w:rFonts w:eastAsia="Arial" w:cs="Arial"/>
          <w:szCs w:val="22"/>
        </w:rPr>
        <w:t xml:space="preserve"> du 1° au 21° du présent article et générant des déchets qui ne s’intègrent dans aucune filière de recyclage disposant d’une capacité suffisante pour accueillir le gisement national de déchets de ce type. Toutefois, les produits de ce type mis sur le marché, produits ou importés par une personne physique ou morale responsable de la mise en marché de moins de 10 000 unités du produit concerné ou réalisant un chiffre d’affaires inférieur à 10 millions d’euros ne sont pas soumis à la responsabilité élargie du producteur. Un décret définit les modalités d’application du présent alinéa” </w:t>
      </w:r>
    </w:p>
    <w:p w14:paraId="55FC8F74"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rPr>
          <w:rFonts w:eastAsia="Arial" w:cs="Arial"/>
          <w:szCs w:val="22"/>
        </w:rPr>
      </w:pPr>
      <w:r>
        <w:rPr>
          <w:rFonts w:eastAsia="Arial" w:cs="Arial"/>
          <w:szCs w:val="22"/>
        </w:rPr>
        <w:t xml:space="preserve"> </w:t>
      </w:r>
    </w:p>
    <w:p w14:paraId="55184BE7" w14:textId="724A3DE0" w:rsidR="00501FB8" w:rsidRPr="00F46E87" w:rsidRDefault="00F46E87">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Arial" w:cs="Arial"/>
          <w:b/>
          <w:szCs w:val="22"/>
        </w:rPr>
      </w:pPr>
      <w:r w:rsidRPr="00F46E87">
        <w:rPr>
          <w:rFonts w:eastAsia="Arial" w:cs="Arial"/>
          <w:b/>
          <w:szCs w:val="22"/>
        </w:rPr>
        <w:t>Exposé som</w:t>
      </w:r>
      <w:r>
        <w:rPr>
          <w:rFonts w:eastAsia="Arial" w:cs="Arial"/>
          <w:b/>
          <w:szCs w:val="22"/>
        </w:rPr>
        <w:t>m</w:t>
      </w:r>
      <w:r w:rsidRPr="00F46E87">
        <w:rPr>
          <w:rFonts w:eastAsia="Arial" w:cs="Arial"/>
          <w:b/>
          <w:szCs w:val="22"/>
        </w:rPr>
        <w:t>aire</w:t>
      </w:r>
    </w:p>
    <w:p w14:paraId="56A52C40" w14:textId="77777777" w:rsidR="00712FB0" w:rsidRDefault="00712FB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Arial" w:cs="Arial"/>
          <w:b/>
          <w:szCs w:val="22"/>
          <w:u w:val="single"/>
        </w:rPr>
      </w:pPr>
    </w:p>
    <w:p w14:paraId="2024B2F0" w14:textId="0CF99F99" w:rsidR="00501FB8" w:rsidRDefault="00F63BB8" w:rsidP="00712FB0">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eastAsia="Arial" w:cs="Arial"/>
          <w:b/>
          <w:szCs w:val="22"/>
        </w:rPr>
      </w:pPr>
      <w:r>
        <w:rPr>
          <w:rFonts w:eastAsia="Arial" w:cs="Arial"/>
          <w:b/>
          <w:szCs w:val="22"/>
        </w:rPr>
        <w:t>Cet amendement est une traduction d’une demande de “taxe à la source” issue du rapport final de la Convention citoyenne pour le Climat, dont les recettes permettront</w:t>
      </w:r>
      <w:r w:rsidR="00712FB0">
        <w:rPr>
          <w:rFonts w:eastAsia="Arial" w:cs="Arial"/>
          <w:b/>
          <w:szCs w:val="22"/>
        </w:rPr>
        <w:t xml:space="preserve"> </w:t>
      </w:r>
      <w:r>
        <w:rPr>
          <w:rFonts w:eastAsia="Arial" w:cs="Arial"/>
          <w:b/>
          <w:szCs w:val="22"/>
        </w:rPr>
        <w:t>d’accompagner le développement de l’économie circulaire.</w:t>
      </w:r>
    </w:p>
    <w:p w14:paraId="14BE564E" w14:textId="77777777" w:rsidR="00712FB0" w:rsidRDefault="00712FB0">
      <w:pPr>
        <w:pBdr>
          <w:top w:val="none" w:sz="0" w:space="0" w:color="000000"/>
          <w:left w:val="none" w:sz="0" w:space="0" w:color="000000"/>
          <w:bottom w:val="none" w:sz="0" w:space="0" w:color="000000"/>
          <w:right w:val="none" w:sz="0" w:space="0" w:color="000000"/>
          <w:between w:val="none" w:sz="0" w:space="0" w:color="000000"/>
        </w:pBdr>
        <w:spacing w:line="276" w:lineRule="auto"/>
        <w:rPr>
          <w:rFonts w:eastAsia="Arial" w:cs="Arial"/>
          <w:szCs w:val="22"/>
          <w:highlight w:val="white"/>
        </w:rPr>
      </w:pPr>
    </w:p>
    <w:p w14:paraId="3AF168BF" w14:textId="36316786"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eastAsia="Arial" w:cs="Arial"/>
          <w:szCs w:val="22"/>
        </w:rPr>
      </w:pPr>
      <w:r>
        <w:rPr>
          <w:rFonts w:eastAsia="Arial" w:cs="Arial"/>
          <w:szCs w:val="22"/>
          <w:highlight w:val="white"/>
        </w:rPr>
        <w:t>En effet, près d’un tiers des déchets ménagers des Français est issu de produits,</w:t>
      </w:r>
      <w:r w:rsidR="00712FB0">
        <w:rPr>
          <w:rFonts w:eastAsia="Arial" w:cs="Arial"/>
          <w:szCs w:val="22"/>
          <w:highlight w:val="white"/>
        </w:rPr>
        <w:t xml:space="preserve"> </w:t>
      </w:r>
      <w:proofErr w:type="gramStart"/>
      <w:r>
        <w:rPr>
          <w:rFonts w:eastAsia="Arial" w:cs="Arial"/>
          <w:szCs w:val="22"/>
          <w:highlight w:val="white"/>
        </w:rPr>
        <w:t>hors</w:t>
      </w:r>
      <w:proofErr w:type="gramEnd"/>
      <w:r>
        <w:rPr>
          <w:rFonts w:eastAsia="Arial" w:cs="Arial"/>
          <w:szCs w:val="22"/>
          <w:highlight w:val="white"/>
        </w:rPr>
        <w:t xml:space="preserve"> </w:t>
      </w:r>
      <w:proofErr w:type="spellStart"/>
      <w:r>
        <w:rPr>
          <w:rFonts w:eastAsia="Arial" w:cs="Arial"/>
          <w:szCs w:val="22"/>
          <w:highlight w:val="white"/>
        </w:rPr>
        <w:t>biodéchets</w:t>
      </w:r>
      <w:proofErr w:type="spellEnd"/>
      <w:r>
        <w:rPr>
          <w:rFonts w:eastAsia="Arial" w:cs="Arial"/>
          <w:szCs w:val="22"/>
          <w:highlight w:val="white"/>
        </w:rPr>
        <w:t>, n’ayant pas de filière de recyclage. Il s’agit notamment de produits en plastique de grande consommation (produits jetables, matériel scolaire…), et de millions de produits et matériaux divers (textiles sanitaires, vaisselle…).</w:t>
      </w:r>
    </w:p>
    <w:p w14:paraId="205D594C" w14:textId="77777777" w:rsidR="00712FB0" w:rsidRDefault="00712FB0">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eastAsia="Arial" w:cs="Arial"/>
          <w:szCs w:val="22"/>
        </w:rPr>
      </w:pPr>
    </w:p>
    <w:p w14:paraId="5A4C2CC5" w14:textId="38377561"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eastAsia="Arial" w:cs="Arial"/>
          <w:szCs w:val="22"/>
        </w:rPr>
      </w:pPr>
      <w:r>
        <w:rPr>
          <w:rFonts w:eastAsia="Arial" w:cs="Arial"/>
          <w:szCs w:val="22"/>
        </w:rPr>
        <w:t xml:space="preserve">Les metteurs sur le marché de ces produits ne contribuent pas à la gestion des déchets, alors que les metteurs sur le marché de biens couverts par une filière de recyclage le font par le biais de la responsabilité élargie des producteurs (REP). Ils n’ont donc pas d’incitation à se tourner vers l’économie circulaire. C’est une sorte de prime au cancre. Enfin, la gestion des déchets issus de ces produits, qui sont in fine orientés vers des installations de traitement thermique ou des installations de stockage, est à la charge des collectivités. Ce sont également ces dernières qui paient la taxe générale sur les activités polluantes pour l’élimination de ces déchets, dont les recettes vont atteindre entre 800 millions d’euros et 1,4 milliards d’euros en 2025, qui seront répercutés sur le contribuable local. </w:t>
      </w:r>
    </w:p>
    <w:p w14:paraId="429EC9A1" w14:textId="77777777" w:rsidR="00712FB0" w:rsidRDefault="00712FB0">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eastAsia="Arial" w:cs="Arial"/>
          <w:szCs w:val="22"/>
        </w:rPr>
      </w:pPr>
    </w:p>
    <w:p w14:paraId="375E630D"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eastAsia="Arial" w:cs="Arial"/>
          <w:szCs w:val="22"/>
        </w:rPr>
      </w:pPr>
      <w:r>
        <w:rPr>
          <w:rFonts w:eastAsia="Arial" w:cs="Arial"/>
          <w:szCs w:val="22"/>
        </w:rPr>
        <w:t xml:space="preserve">Malgré les nouvelles filières de responsabilité élargie des producteurs, des millions de produits générant plus de 10 millions de tonnes de déchets ménagers chaque année resteront des </w:t>
      </w:r>
      <w:r>
        <w:rPr>
          <w:rFonts w:eastAsia="Arial" w:cs="Arial"/>
          <w:szCs w:val="22"/>
        </w:rPr>
        <w:lastRenderedPageBreak/>
        <w:t xml:space="preserve">passagers clandestins de l’économie circulaire. Il sera dès lors impossible de diviser par deux le stockage des déchets en France comme le prévoit la loi de transition énergétique. Il sera également impossible pour les collectivités d’éviter que l’augmentation de la TGAP sur le traitement des déchets n'entraîne une forte hausse du coût de la gestion des déchets, répercutée sur le contribuable local, faute d’alternatives pour réduire les quantités de déchets envoyées en traitement. </w:t>
      </w:r>
    </w:p>
    <w:p w14:paraId="3B0AA943"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eastAsia="Arial" w:cs="Arial"/>
          <w:szCs w:val="22"/>
        </w:rPr>
      </w:pPr>
      <w:r>
        <w:rPr>
          <w:rFonts w:eastAsia="Arial" w:cs="Arial"/>
          <w:szCs w:val="22"/>
        </w:rPr>
        <w:t xml:space="preserve"> </w:t>
      </w:r>
    </w:p>
    <w:p w14:paraId="230C4A61"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eastAsia="Arial" w:cs="Arial"/>
          <w:szCs w:val="22"/>
        </w:rPr>
      </w:pPr>
      <w:r>
        <w:rPr>
          <w:rFonts w:eastAsia="Arial" w:cs="Arial"/>
          <w:szCs w:val="22"/>
        </w:rPr>
        <w:t xml:space="preserve">Cet amendement vise donc à créer une éco-contribution sur ces produits non recyclables, dont les recettes seraient collectées par un organisme indépendant et pourront financer la création de nouvelles filières de collecte séparée et de recyclage, la recherche et développement pour réduire les déchets générés par les produits concernés ou améliorer leur </w:t>
      </w:r>
      <w:proofErr w:type="spellStart"/>
      <w:r>
        <w:rPr>
          <w:rFonts w:eastAsia="Arial" w:cs="Arial"/>
          <w:szCs w:val="22"/>
        </w:rPr>
        <w:t>recyclabilité</w:t>
      </w:r>
      <w:proofErr w:type="spellEnd"/>
      <w:r>
        <w:rPr>
          <w:rFonts w:eastAsia="Arial" w:cs="Arial"/>
          <w:szCs w:val="22"/>
        </w:rPr>
        <w:t>. Cet amendement permettrait également d’inciter les metteurs sur les marchés de ces produits à développer l’</w:t>
      </w:r>
      <w:proofErr w:type="spellStart"/>
      <w:r>
        <w:rPr>
          <w:rFonts w:eastAsia="Arial" w:cs="Arial"/>
          <w:szCs w:val="22"/>
        </w:rPr>
        <w:t>éco-conception</w:t>
      </w:r>
      <w:proofErr w:type="spellEnd"/>
      <w:r>
        <w:rPr>
          <w:rFonts w:eastAsia="Arial" w:cs="Arial"/>
          <w:szCs w:val="22"/>
        </w:rPr>
        <w:t xml:space="preserve"> et contribuerait donc à réduire la quantité de produits non recyclables sur le marché. Il participerait donc à l'atteinte de l’objectif de division par deux du stockage des déchets prévu par la loi de transition énergétique. </w:t>
      </w:r>
    </w:p>
    <w:p w14:paraId="298E3951"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eastAsia="Arial" w:cs="Arial"/>
          <w:szCs w:val="22"/>
        </w:rPr>
      </w:pPr>
    </w:p>
    <w:p w14:paraId="5039963E" w14:textId="72CC612C" w:rsidR="00501FB8" w:rsidRPr="00712FB0"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jc w:val="both"/>
        <w:rPr>
          <w:rFonts w:eastAsia="Arial" w:cs="Arial"/>
          <w:iCs/>
          <w:szCs w:val="22"/>
        </w:rPr>
      </w:pPr>
      <w:r w:rsidRPr="00712FB0">
        <w:rPr>
          <w:rFonts w:eastAsia="Arial" w:cs="Arial"/>
          <w:iCs/>
          <w:szCs w:val="22"/>
        </w:rPr>
        <w:t>(</w:t>
      </w:r>
      <w:r w:rsidR="00712FB0" w:rsidRPr="00712FB0">
        <w:rPr>
          <w:rFonts w:eastAsia="Arial" w:cs="Arial"/>
          <w:iCs/>
          <w:szCs w:val="22"/>
        </w:rPr>
        <w:t>P</w:t>
      </w:r>
      <w:r w:rsidRPr="00712FB0">
        <w:rPr>
          <w:rFonts w:eastAsia="Arial" w:cs="Arial"/>
          <w:iCs/>
          <w:szCs w:val="22"/>
        </w:rPr>
        <w:t>roposition permettant de traduire les demandes de la Convention Citoyenne, voir “Consommer- Objectif 3” du rapport).</w:t>
      </w:r>
    </w:p>
    <w:p w14:paraId="4C459CBE"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szCs w:val="22"/>
        </w:rPr>
      </w:pPr>
    </w:p>
    <w:p w14:paraId="259B0529"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szCs w:val="22"/>
        </w:rPr>
      </w:pPr>
    </w:p>
    <w:p w14:paraId="4721AB18"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szCs w:val="22"/>
        </w:rPr>
      </w:pPr>
    </w:p>
    <w:p w14:paraId="71AD9035"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szCs w:val="22"/>
        </w:rPr>
      </w:pPr>
      <w:r>
        <w:br w:type="page"/>
      </w:r>
    </w:p>
    <w:p w14:paraId="19C827BF" w14:textId="4BA17145" w:rsidR="00501FB8" w:rsidRPr="00F46E87" w:rsidRDefault="00F63BB8" w:rsidP="00F46E87">
      <w:pPr>
        <w:pStyle w:val="Sansinterligne"/>
        <w:rPr>
          <w:rFonts w:eastAsia="Arial" w:cs="Arial"/>
          <w:szCs w:val="22"/>
        </w:rPr>
      </w:pPr>
      <w:bookmarkStart w:id="14" w:name="_Toc65685018"/>
      <w:bookmarkStart w:id="15" w:name="_Toc65685658"/>
      <w:bookmarkStart w:id="16" w:name="_Toc65687435"/>
      <w:r>
        <w:rPr>
          <w:rFonts w:eastAsia="Arial" w:cs="Arial"/>
          <w:szCs w:val="22"/>
        </w:rPr>
        <w:lastRenderedPageBreak/>
        <w:t>Amendement n°3 (</w:t>
      </w:r>
      <w:r w:rsidR="00F46E87">
        <w:rPr>
          <w:rFonts w:eastAsia="Arial" w:cs="Arial"/>
          <w:szCs w:val="22"/>
        </w:rPr>
        <w:t>P</w:t>
      </w:r>
      <w:r>
        <w:rPr>
          <w:rFonts w:eastAsia="Arial" w:cs="Arial"/>
          <w:szCs w:val="22"/>
        </w:rPr>
        <w:t xml:space="preserve">rioritaire) </w:t>
      </w:r>
      <w:r w:rsidR="00F46E87">
        <w:rPr>
          <w:rFonts w:eastAsia="Arial" w:cs="Arial"/>
          <w:szCs w:val="22"/>
        </w:rPr>
        <w:t xml:space="preserve">- </w:t>
      </w:r>
      <w:r>
        <w:rPr>
          <w:rFonts w:eastAsia="Arial"/>
        </w:rPr>
        <w:t>Augmentation des objectifs de réemploi visant l’ensemble des emballages à usage unique</w:t>
      </w:r>
      <w:bookmarkEnd w:id="14"/>
      <w:bookmarkEnd w:id="15"/>
      <w:bookmarkEnd w:id="16"/>
    </w:p>
    <w:p w14:paraId="2EA988CE" w14:textId="77777777" w:rsidR="00501FB8" w:rsidRDefault="00501FB8">
      <w:pPr>
        <w:jc w:val="center"/>
        <w:rPr>
          <w:rFonts w:eastAsia="Arial" w:cs="Arial"/>
          <w:b/>
          <w:szCs w:val="22"/>
        </w:rPr>
      </w:pPr>
    </w:p>
    <w:p w14:paraId="38F20614" w14:textId="77777777" w:rsidR="00501FB8" w:rsidRDefault="00F63BB8">
      <w:pPr>
        <w:spacing w:line="276" w:lineRule="auto"/>
        <w:jc w:val="center"/>
        <w:rPr>
          <w:rFonts w:eastAsia="Arial" w:cs="Arial"/>
          <w:szCs w:val="22"/>
        </w:rPr>
      </w:pPr>
      <w:r>
        <w:rPr>
          <w:rFonts w:eastAsia="Arial" w:cs="Arial"/>
          <w:szCs w:val="22"/>
        </w:rPr>
        <w:t>Présenté par</w:t>
      </w:r>
    </w:p>
    <w:p w14:paraId="37DFEC6E" w14:textId="10F27EEE" w:rsidR="00501FB8" w:rsidRDefault="00F63BB8">
      <w:pPr>
        <w:spacing w:line="276" w:lineRule="auto"/>
        <w:jc w:val="center"/>
        <w:rPr>
          <w:rFonts w:eastAsia="Arial" w:cs="Arial"/>
          <w:szCs w:val="22"/>
        </w:rPr>
      </w:pPr>
      <w:r>
        <w:rPr>
          <w:rFonts w:eastAsia="Arial" w:cs="Arial"/>
          <w:szCs w:val="22"/>
        </w:rPr>
        <w:t>……...</w:t>
      </w:r>
    </w:p>
    <w:p w14:paraId="41FC1BFF" w14:textId="77777777" w:rsidR="00F46E87" w:rsidRDefault="00F46E87">
      <w:pPr>
        <w:spacing w:line="276" w:lineRule="auto"/>
        <w:jc w:val="center"/>
        <w:rPr>
          <w:rFonts w:eastAsia="Arial" w:cs="Arial"/>
          <w:b/>
          <w:szCs w:val="22"/>
        </w:rPr>
      </w:pPr>
    </w:p>
    <w:p w14:paraId="247E1686" w14:textId="5D50F219" w:rsidR="00501FB8" w:rsidRDefault="00F46E87">
      <w:pPr>
        <w:jc w:val="center"/>
        <w:rPr>
          <w:rFonts w:eastAsia="Arial" w:cs="Arial"/>
          <w:szCs w:val="22"/>
        </w:rPr>
      </w:pPr>
      <w:r>
        <w:rPr>
          <w:rFonts w:eastAsia="Arial" w:cs="Arial"/>
          <w:szCs w:val="22"/>
        </w:rPr>
        <w:t>Article</w:t>
      </w:r>
      <w:r w:rsidR="00F63BB8">
        <w:rPr>
          <w:rFonts w:eastAsia="Arial" w:cs="Arial"/>
          <w:szCs w:val="22"/>
        </w:rPr>
        <w:t xml:space="preserve"> additionnel</w:t>
      </w:r>
    </w:p>
    <w:p w14:paraId="1432CF00" w14:textId="381ECEDB" w:rsidR="00501FB8" w:rsidRDefault="00F46E87">
      <w:pPr>
        <w:spacing w:line="276" w:lineRule="auto"/>
        <w:jc w:val="center"/>
        <w:rPr>
          <w:rFonts w:eastAsia="Arial" w:cs="Arial"/>
          <w:szCs w:val="22"/>
        </w:rPr>
      </w:pPr>
      <w:r>
        <w:rPr>
          <w:rFonts w:eastAsia="Arial" w:cs="Arial"/>
          <w:szCs w:val="22"/>
        </w:rPr>
        <w:t>A</w:t>
      </w:r>
      <w:r w:rsidR="00F63BB8">
        <w:rPr>
          <w:rFonts w:eastAsia="Arial" w:cs="Arial"/>
          <w:szCs w:val="22"/>
        </w:rPr>
        <w:t>près l’article 12</w:t>
      </w:r>
      <w:r>
        <w:rPr>
          <w:rFonts w:eastAsia="Arial" w:cs="Arial"/>
          <w:szCs w:val="22"/>
        </w:rPr>
        <w:t>, insérer un article supplémentaire ainsi rédigé :</w:t>
      </w:r>
    </w:p>
    <w:p w14:paraId="7C3BEEF0" w14:textId="77777777" w:rsidR="00501FB8" w:rsidRDefault="00F63BB8">
      <w:pPr>
        <w:spacing w:line="276" w:lineRule="auto"/>
        <w:jc w:val="both"/>
        <w:rPr>
          <w:rFonts w:eastAsia="Arial" w:cs="Arial"/>
          <w:b/>
          <w:szCs w:val="22"/>
          <w:u w:val="single"/>
        </w:rPr>
      </w:pPr>
      <w:r>
        <w:rPr>
          <w:rFonts w:eastAsia="Arial" w:cs="Arial"/>
          <w:szCs w:val="22"/>
        </w:rPr>
        <w:t xml:space="preserve"> </w:t>
      </w:r>
    </w:p>
    <w:p w14:paraId="1E1F5263" w14:textId="77777777" w:rsidR="00501FB8" w:rsidRDefault="00F63BB8">
      <w:pPr>
        <w:spacing w:before="240" w:after="240" w:line="276" w:lineRule="auto"/>
        <w:rPr>
          <w:rFonts w:eastAsia="Arial" w:cs="Arial"/>
          <w:szCs w:val="22"/>
        </w:rPr>
      </w:pPr>
      <w:r>
        <w:rPr>
          <w:rFonts w:eastAsia="Arial" w:cs="Arial"/>
          <w:szCs w:val="22"/>
        </w:rPr>
        <w:t>Après l’article L. 541-10-17 de la sous-section 2 de la section 2 du chapitre Ier du titre IV du livre V du code de l'environnement, insérer un article ainsi rédigé :</w:t>
      </w:r>
    </w:p>
    <w:p w14:paraId="32A852C4" w14:textId="77777777" w:rsidR="00501FB8" w:rsidRDefault="00F63BB8">
      <w:pPr>
        <w:spacing w:before="240" w:after="240" w:line="276" w:lineRule="auto"/>
        <w:rPr>
          <w:rFonts w:eastAsia="Arial" w:cs="Arial"/>
          <w:szCs w:val="22"/>
        </w:rPr>
      </w:pPr>
      <w:r>
        <w:rPr>
          <w:rFonts w:eastAsia="Arial" w:cs="Arial"/>
          <w:szCs w:val="22"/>
        </w:rPr>
        <w:t>L.541-10-18</w:t>
      </w:r>
    </w:p>
    <w:p w14:paraId="7E7C08E2" w14:textId="77777777" w:rsidR="00501FB8" w:rsidRDefault="00F63BB8">
      <w:pPr>
        <w:spacing w:before="240" w:after="240" w:line="276" w:lineRule="auto"/>
        <w:jc w:val="both"/>
        <w:rPr>
          <w:rFonts w:eastAsia="Arial" w:cs="Arial"/>
          <w:szCs w:val="22"/>
        </w:rPr>
      </w:pPr>
      <w:proofErr w:type="spellStart"/>
      <w:r>
        <w:rPr>
          <w:rFonts w:eastAsia="Arial" w:cs="Arial"/>
          <w:szCs w:val="22"/>
        </w:rPr>
        <w:t>I.-Après</w:t>
      </w:r>
      <w:proofErr w:type="spellEnd"/>
      <w:r>
        <w:rPr>
          <w:rFonts w:eastAsia="Arial" w:cs="Arial"/>
          <w:szCs w:val="22"/>
        </w:rPr>
        <w:t xml:space="preserve"> la troisième phrase du 1° du I de l'article L. 541-1 du code de l'environnement, le paragraphe est ainsi modifié : « A ce titre, la France se dote d'une trajectoire nationale visant à augmenter la part des emballages réemployés mis en marché par rapport aux emballages à usage unique, de manière à atteindre une proportion de 10 % des emballages réemployés mis en marché en France en 2025 par rapport à 2018 exprimés en unité de vente ou équivalent unité de vente, et de 20% des emballages réemployés mis en marché en France en 2030 par rapport à 2018, exprimés en unité de vente ou équivalent unité de vente. Les emballages réemployés doivent être recyclables. » </w:t>
      </w:r>
    </w:p>
    <w:p w14:paraId="776DC494" w14:textId="77777777" w:rsidR="00501FB8" w:rsidRDefault="00F63BB8">
      <w:pPr>
        <w:spacing w:before="240" w:after="240" w:line="276" w:lineRule="auto"/>
        <w:jc w:val="both"/>
        <w:rPr>
          <w:rFonts w:eastAsia="Arial" w:cs="Arial"/>
          <w:szCs w:val="22"/>
        </w:rPr>
      </w:pPr>
      <w:r>
        <w:rPr>
          <w:rFonts w:eastAsia="Arial" w:cs="Arial"/>
          <w:szCs w:val="22"/>
        </w:rPr>
        <w:t>Un décret précise les modalités de la mise en œuvre de ces objectifs, fixe la trajectoire incluant des objectifs annuels, des indicateurs de suivi et les modalités de contrôle indépendantes. Le décret transpose ces objectifs au cahier des charges de la filière de responsabilité élargie du producteur des emballages ménagers au plus tard au 1er janvier 2022 en précisant notamment les moyens minimums à mettre en œuvre pour les atteindre en s’appuyant sur les recommandations de l’observatoire du réemploi et de la réutilisation. Ces objectifs sont également inscrits dans le cahier des charges de la REP emballages professionnels au 1er janvier 2021.</w:t>
      </w:r>
    </w:p>
    <w:p w14:paraId="491B52FB" w14:textId="4554EE14" w:rsidR="00501FB8" w:rsidRPr="00F46E87" w:rsidRDefault="00F46E87">
      <w:pPr>
        <w:spacing w:line="276" w:lineRule="auto"/>
        <w:jc w:val="center"/>
        <w:rPr>
          <w:rFonts w:eastAsia="Arial" w:cs="Arial"/>
          <w:b/>
          <w:szCs w:val="22"/>
        </w:rPr>
      </w:pPr>
      <w:r w:rsidRPr="00F46E87">
        <w:rPr>
          <w:rFonts w:eastAsia="Arial" w:cs="Arial"/>
          <w:b/>
          <w:szCs w:val="22"/>
        </w:rPr>
        <w:t>Exposé sommaire</w:t>
      </w:r>
    </w:p>
    <w:p w14:paraId="384B52B5" w14:textId="77777777" w:rsidR="00501FB8" w:rsidRDefault="00F63BB8">
      <w:pPr>
        <w:spacing w:line="276" w:lineRule="auto"/>
        <w:rPr>
          <w:rFonts w:eastAsia="Arial" w:cs="Arial"/>
          <w:szCs w:val="22"/>
        </w:rPr>
      </w:pPr>
      <w:r>
        <w:rPr>
          <w:rFonts w:eastAsia="Arial" w:cs="Arial"/>
          <w:szCs w:val="22"/>
        </w:rPr>
        <w:t xml:space="preserve"> </w:t>
      </w:r>
    </w:p>
    <w:p w14:paraId="3CB0B655" w14:textId="77777777" w:rsidR="00501FB8" w:rsidRDefault="00F63BB8">
      <w:pPr>
        <w:spacing w:line="276" w:lineRule="auto"/>
        <w:jc w:val="both"/>
        <w:rPr>
          <w:rFonts w:eastAsia="Arial" w:cs="Arial"/>
          <w:szCs w:val="22"/>
          <w:highlight w:val="white"/>
        </w:rPr>
      </w:pPr>
      <w:r>
        <w:rPr>
          <w:rFonts w:eastAsia="Arial" w:cs="Arial"/>
          <w:szCs w:val="22"/>
          <w:highlight w:val="white"/>
        </w:rPr>
        <w:t xml:space="preserve">La mise sur le marché des emballages ménagers s’élève à environ 5 millions de tonnes en 2020. Malgré les dispositions de la loi AGEC visant à développer la part des emballages faisant l’objet d’un réemploi (5% en 2023 et 10% en 2027) et plus particulièrement des emballages en plastique à usage unique (10% de </w:t>
      </w:r>
      <w:proofErr w:type="spellStart"/>
      <w:r>
        <w:rPr>
          <w:rFonts w:eastAsia="Arial" w:cs="Arial"/>
          <w:szCs w:val="22"/>
          <w:highlight w:val="white"/>
        </w:rPr>
        <w:t>ré-emploi</w:t>
      </w:r>
      <w:proofErr w:type="spellEnd"/>
      <w:r>
        <w:rPr>
          <w:rFonts w:eastAsia="Arial" w:cs="Arial"/>
          <w:szCs w:val="22"/>
          <w:highlight w:val="white"/>
        </w:rPr>
        <w:t xml:space="preserve"> en 2025 selon les dispositions de la stratégie plastique en cours déclinaison) le réemploi peine à se développer essentiellement car les objectifs ne sont pas uniformes entre les différents matériaux d’emballages entraînant un biais en termes d’équité. De plus, les objectifs fixés dans la loi AGEC ne sont pas contraignants pour les acteurs économiques (producteurs, importateurs, distributeurs) entraînant une mise en œuvre lente sur la base du volontariat.  </w:t>
      </w:r>
    </w:p>
    <w:p w14:paraId="624FA6C8" w14:textId="77777777" w:rsidR="00501FB8" w:rsidRDefault="00F63BB8">
      <w:pPr>
        <w:spacing w:line="276" w:lineRule="auto"/>
        <w:rPr>
          <w:rFonts w:eastAsia="Arial" w:cs="Arial"/>
          <w:szCs w:val="22"/>
        </w:rPr>
      </w:pPr>
      <w:r>
        <w:rPr>
          <w:rFonts w:eastAsia="Arial" w:cs="Arial"/>
          <w:szCs w:val="22"/>
        </w:rPr>
        <w:t xml:space="preserve">  </w:t>
      </w:r>
    </w:p>
    <w:p w14:paraId="24BE2092" w14:textId="77777777" w:rsidR="00501FB8" w:rsidRDefault="00F63BB8">
      <w:pPr>
        <w:spacing w:line="276" w:lineRule="auto"/>
        <w:jc w:val="both"/>
        <w:rPr>
          <w:rFonts w:eastAsia="Arial" w:cs="Arial"/>
          <w:szCs w:val="22"/>
        </w:rPr>
      </w:pPr>
      <w:r>
        <w:rPr>
          <w:rFonts w:eastAsia="Arial" w:cs="Arial"/>
          <w:szCs w:val="22"/>
        </w:rPr>
        <w:t xml:space="preserve">Cet amendement vise donc à harmoniser les objectifs de réemploi pour l’ensemble des matériaux de la filière REP des emballages ménagers et à les retranscrire sous forme d’objectifs de résultats dans les cahiers des charges des filières de REP des emballages ménagers et professionnels. </w:t>
      </w:r>
      <w:r>
        <w:br w:type="page"/>
      </w:r>
    </w:p>
    <w:p w14:paraId="2CF459AE" w14:textId="77777777" w:rsidR="00501FB8" w:rsidRDefault="00501FB8">
      <w:pPr>
        <w:spacing w:line="276" w:lineRule="auto"/>
        <w:jc w:val="both"/>
        <w:rPr>
          <w:rFonts w:eastAsia="Arial" w:cs="Arial"/>
          <w:szCs w:val="22"/>
        </w:rPr>
      </w:pPr>
    </w:p>
    <w:p w14:paraId="35213D7B" w14:textId="77777777" w:rsidR="00501FB8" w:rsidRDefault="00501FB8">
      <w:pPr>
        <w:jc w:val="center"/>
        <w:rPr>
          <w:rFonts w:eastAsia="Arial" w:cs="Arial"/>
          <w:szCs w:val="22"/>
        </w:rPr>
      </w:pPr>
    </w:p>
    <w:p w14:paraId="5CA0C6C0" w14:textId="290CE865" w:rsidR="00501FB8" w:rsidRPr="00F46E87" w:rsidRDefault="00F63BB8" w:rsidP="00F46E87">
      <w:pPr>
        <w:pStyle w:val="Sansinterligne"/>
        <w:rPr>
          <w:rFonts w:eastAsia="Arial" w:cs="Arial"/>
          <w:szCs w:val="22"/>
        </w:rPr>
      </w:pPr>
      <w:bookmarkStart w:id="17" w:name="_Toc65685019"/>
      <w:bookmarkStart w:id="18" w:name="_Toc65685659"/>
      <w:bookmarkStart w:id="19" w:name="_Toc65687436"/>
      <w:r>
        <w:rPr>
          <w:rFonts w:eastAsia="Arial" w:cs="Arial"/>
          <w:szCs w:val="22"/>
        </w:rPr>
        <w:t>Amendement n°4</w:t>
      </w:r>
      <w:bookmarkStart w:id="20" w:name="_heading=h.b063j2b368oh" w:colFirst="0" w:colLast="0"/>
      <w:bookmarkEnd w:id="20"/>
      <w:r w:rsidR="00F46E87">
        <w:rPr>
          <w:rFonts w:eastAsia="Arial" w:cs="Arial"/>
          <w:szCs w:val="22"/>
        </w:rPr>
        <w:t xml:space="preserve"> - </w:t>
      </w:r>
      <w:r>
        <w:rPr>
          <w:rFonts w:eastAsia="Arial"/>
        </w:rPr>
        <w:t>Rendre opérationnel le développement de la vente en vrac</w:t>
      </w:r>
      <w:bookmarkEnd w:id="17"/>
      <w:bookmarkEnd w:id="18"/>
      <w:bookmarkEnd w:id="19"/>
    </w:p>
    <w:p w14:paraId="1EF5917D" w14:textId="77777777" w:rsidR="00501FB8" w:rsidRDefault="00501FB8">
      <w:pPr>
        <w:rPr>
          <w:rFonts w:eastAsia="Arial" w:cs="Arial"/>
          <w:b/>
          <w:szCs w:val="22"/>
        </w:rPr>
      </w:pPr>
    </w:p>
    <w:p w14:paraId="4DDB24CD" w14:textId="77777777" w:rsidR="00501FB8" w:rsidRDefault="00F63BB8">
      <w:pPr>
        <w:jc w:val="center"/>
        <w:rPr>
          <w:rFonts w:eastAsia="Arial" w:cs="Arial"/>
          <w:szCs w:val="22"/>
        </w:rPr>
      </w:pPr>
      <w:r>
        <w:rPr>
          <w:rFonts w:eastAsia="Arial" w:cs="Arial"/>
          <w:szCs w:val="22"/>
        </w:rPr>
        <w:t>Présenté par</w:t>
      </w:r>
    </w:p>
    <w:p w14:paraId="6B1FB5BF" w14:textId="77777777" w:rsidR="00501FB8" w:rsidRDefault="00F63BB8">
      <w:pPr>
        <w:jc w:val="center"/>
        <w:rPr>
          <w:rFonts w:eastAsia="Arial" w:cs="Arial"/>
          <w:szCs w:val="22"/>
        </w:rPr>
      </w:pPr>
      <w:r>
        <w:rPr>
          <w:rFonts w:eastAsia="Arial" w:cs="Arial"/>
          <w:szCs w:val="22"/>
        </w:rPr>
        <w:t>…..</w:t>
      </w:r>
    </w:p>
    <w:p w14:paraId="3A8C4218" w14:textId="77777777" w:rsidR="00501FB8" w:rsidRDefault="00501FB8">
      <w:pPr>
        <w:jc w:val="center"/>
        <w:rPr>
          <w:rFonts w:eastAsia="Arial" w:cs="Arial"/>
          <w:b/>
          <w:szCs w:val="22"/>
        </w:rPr>
      </w:pPr>
    </w:p>
    <w:p w14:paraId="31D0672A" w14:textId="3FF47F70" w:rsidR="00501FB8" w:rsidRDefault="00F46E87">
      <w:pPr>
        <w:spacing w:line="276" w:lineRule="auto"/>
        <w:jc w:val="center"/>
        <w:rPr>
          <w:rFonts w:eastAsia="Arial" w:cs="Arial"/>
          <w:szCs w:val="22"/>
        </w:rPr>
      </w:pPr>
      <w:r>
        <w:rPr>
          <w:rFonts w:eastAsia="Arial" w:cs="Arial"/>
          <w:szCs w:val="22"/>
        </w:rPr>
        <w:t>Modifier l’a</w:t>
      </w:r>
      <w:r w:rsidR="00F63BB8">
        <w:rPr>
          <w:rFonts w:eastAsia="Arial" w:cs="Arial"/>
          <w:szCs w:val="22"/>
        </w:rPr>
        <w:t>rticle 11</w:t>
      </w:r>
    </w:p>
    <w:p w14:paraId="231284EF" w14:textId="77777777" w:rsidR="00501FB8" w:rsidRDefault="00501FB8">
      <w:pPr>
        <w:spacing w:line="276" w:lineRule="auto"/>
        <w:jc w:val="center"/>
        <w:rPr>
          <w:rFonts w:eastAsia="Arial" w:cs="Arial"/>
          <w:b/>
          <w:szCs w:val="22"/>
          <w:u w:val="single"/>
        </w:rPr>
      </w:pPr>
    </w:p>
    <w:p w14:paraId="647583CB" w14:textId="25B8B86B"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rPr>
          <w:rFonts w:eastAsia="Arial" w:cs="Arial"/>
          <w:szCs w:val="22"/>
        </w:rPr>
      </w:pPr>
      <w:r>
        <w:rPr>
          <w:rFonts w:eastAsia="Arial" w:cs="Arial"/>
          <w:szCs w:val="22"/>
        </w:rPr>
        <w:t>A l’article 11, rajouter l’alinéa suivant :</w:t>
      </w:r>
    </w:p>
    <w:p w14:paraId="3A8795D9" w14:textId="77777777" w:rsidR="00712FB0" w:rsidRDefault="00712FB0">
      <w:pPr>
        <w:pBdr>
          <w:top w:val="none" w:sz="0" w:space="0" w:color="000000"/>
          <w:left w:val="none" w:sz="0" w:space="0" w:color="000000"/>
          <w:bottom w:val="none" w:sz="0" w:space="0" w:color="000000"/>
          <w:right w:val="none" w:sz="0" w:space="0" w:color="000000"/>
          <w:between w:val="none" w:sz="0" w:space="0" w:color="000000"/>
        </w:pBdr>
        <w:spacing w:line="276" w:lineRule="auto"/>
        <w:rPr>
          <w:rFonts w:eastAsia="Arial" w:cs="Arial"/>
          <w:szCs w:val="22"/>
        </w:rPr>
      </w:pPr>
    </w:p>
    <w:p w14:paraId="0B4DE5E1"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rPr>
          <w:rFonts w:eastAsia="Arial" w:cs="Arial"/>
          <w:szCs w:val="22"/>
        </w:rPr>
      </w:pPr>
      <w:r>
        <w:rPr>
          <w:rFonts w:eastAsia="Arial" w:cs="Arial"/>
          <w:szCs w:val="22"/>
        </w:rPr>
        <w:t>“Un décret précise les modalités de développement du vrac dans les commerces de vente ainsi que les produits concernés”</w:t>
      </w:r>
    </w:p>
    <w:p w14:paraId="4678A821" w14:textId="77777777" w:rsidR="00501FB8" w:rsidRDefault="00501FB8">
      <w:pPr>
        <w:spacing w:line="276" w:lineRule="auto"/>
        <w:rPr>
          <w:rFonts w:eastAsia="Arial" w:cs="Arial"/>
          <w:szCs w:val="22"/>
        </w:rPr>
      </w:pPr>
    </w:p>
    <w:p w14:paraId="1DD6C718" w14:textId="1155554B" w:rsidR="00501FB8" w:rsidRPr="00F46E87" w:rsidRDefault="00F46E87">
      <w:pPr>
        <w:spacing w:line="276" w:lineRule="auto"/>
        <w:jc w:val="center"/>
        <w:rPr>
          <w:rFonts w:eastAsia="Arial" w:cs="Arial"/>
          <w:b/>
          <w:szCs w:val="22"/>
        </w:rPr>
      </w:pPr>
      <w:r w:rsidRPr="00F46E87">
        <w:rPr>
          <w:rFonts w:eastAsia="Arial" w:cs="Arial"/>
          <w:b/>
          <w:szCs w:val="22"/>
        </w:rPr>
        <w:t>Exposé sommaire</w:t>
      </w:r>
    </w:p>
    <w:p w14:paraId="6BB50190" w14:textId="77777777" w:rsidR="00712FB0" w:rsidRDefault="00712FB0">
      <w:pPr>
        <w:spacing w:line="276" w:lineRule="auto"/>
        <w:jc w:val="center"/>
        <w:rPr>
          <w:rFonts w:eastAsia="Arial" w:cs="Arial"/>
          <w:b/>
          <w:szCs w:val="22"/>
          <w:u w:val="single"/>
        </w:rPr>
      </w:pPr>
    </w:p>
    <w:p w14:paraId="09E7EDB0" w14:textId="77777777" w:rsidR="00712FB0" w:rsidRDefault="00F63BB8">
      <w:pPr>
        <w:spacing w:line="276" w:lineRule="auto"/>
        <w:jc w:val="both"/>
        <w:rPr>
          <w:rFonts w:eastAsia="Arial" w:cs="Arial"/>
          <w:szCs w:val="22"/>
        </w:rPr>
      </w:pPr>
      <w:r>
        <w:rPr>
          <w:rFonts w:eastAsia="Arial" w:cs="Arial"/>
          <w:b/>
          <w:szCs w:val="22"/>
        </w:rPr>
        <w:t>Cet amendement est une traduction d’une demande de “limiter le suremballage et l’utilisation du plastique à usage unique en développant le vrac” issue du rapport final de la Convention citoyenne pour le Climat.</w:t>
      </w:r>
      <w:r>
        <w:rPr>
          <w:rFonts w:eastAsia="Arial" w:cs="Arial"/>
          <w:szCs w:val="22"/>
        </w:rPr>
        <w:t xml:space="preserve"> </w:t>
      </w:r>
    </w:p>
    <w:p w14:paraId="1907921F" w14:textId="77777777" w:rsidR="00712FB0" w:rsidRDefault="00712FB0">
      <w:pPr>
        <w:spacing w:line="276" w:lineRule="auto"/>
        <w:jc w:val="both"/>
        <w:rPr>
          <w:rFonts w:eastAsia="Arial" w:cs="Arial"/>
          <w:szCs w:val="22"/>
        </w:rPr>
      </w:pPr>
    </w:p>
    <w:p w14:paraId="53A093AC" w14:textId="527D79BD" w:rsidR="00501FB8" w:rsidRDefault="00F63BB8">
      <w:pPr>
        <w:spacing w:line="276" w:lineRule="auto"/>
        <w:jc w:val="both"/>
        <w:rPr>
          <w:rFonts w:eastAsia="Arial" w:cs="Arial"/>
          <w:szCs w:val="22"/>
        </w:rPr>
      </w:pPr>
      <w:r>
        <w:rPr>
          <w:rFonts w:eastAsia="Arial" w:cs="Arial"/>
          <w:szCs w:val="22"/>
        </w:rPr>
        <w:t xml:space="preserve">La traduction de cette demande dans le projet de loi est très allégée. Si la Convention proposait 50% de surface de vente consacré au vrac en 2030, le projet ne retient que 20%. Si la convention voulait imposer le développement d’une offre de produits en vrac, le projet ne propose que de tendre vers cet objectif. </w:t>
      </w:r>
    </w:p>
    <w:p w14:paraId="32B436A1" w14:textId="77777777" w:rsidR="00712FB0" w:rsidRDefault="00712FB0">
      <w:pPr>
        <w:spacing w:line="276" w:lineRule="auto"/>
        <w:jc w:val="both"/>
        <w:rPr>
          <w:rFonts w:eastAsia="Arial" w:cs="Arial"/>
          <w:szCs w:val="22"/>
        </w:rPr>
      </w:pPr>
    </w:p>
    <w:p w14:paraId="524E10EA" w14:textId="46A098B4" w:rsidR="00501FB8" w:rsidRDefault="00F63BB8">
      <w:pPr>
        <w:spacing w:line="276" w:lineRule="auto"/>
        <w:jc w:val="both"/>
        <w:rPr>
          <w:rFonts w:eastAsia="Arial" w:cs="Arial"/>
          <w:szCs w:val="22"/>
        </w:rPr>
      </w:pPr>
      <w:r>
        <w:rPr>
          <w:rFonts w:eastAsia="Arial" w:cs="Arial"/>
          <w:szCs w:val="22"/>
        </w:rPr>
        <w:t>Pourtant la proposition initiale issue de la Convention citoyenne pour le Climat s’inscrit concrètement dans le cadre des dispositions de la loi AGEC (février 2020) visant la prévention des emballages ménagers et tout particulièrement des emballages plastiques à usage unique dont l’objectif de prévention et de réemploi est fixé à 20% entre 2018 et 2025 selon la stratégie plastique proposée. Ainsi la proposition de la Convention citoyenne pour le Climat introduit un objectif de moyen pertinent à destination des commerces pour atteindre concrètement les objectifs de prévention de la loi AGEC.</w:t>
      </w:r>
    </w:p>
    <w:p w14:paraId="1A0EFF8B" w14:textId="77777777" w:rsidR="00712FB0" w:rsidRDefault="00712FB0">
      <w:pPr>
        <w:spacing w:line="276" w:lineRule="auto"/>
        <w:jc w:val="both"/>
        <w:rPr>
          <w:rFonts w:eastAsia="Arial" w:cs="Arial"/>
          <w:szCs w:val="22"/>
        </w:rPr>
      </w:pPr>
    </w:p>
    <w:p w14:paraId="17EBBC46" w14:textId="77777777" w:rsidR="00501FB8" w:rsidRDefault="00F63BB8">
      <w:pPr>
        <w:spacing w:line="276" w:lineRule="auto"/>
        <w:jc w:val="both"/>
        <w:rPr>
          <w:rFonts w:eastAsia="Arial" w:cs="Arial"/>
          <w:szCs w:val="22"/>
        </w:rPr>
      </w:pPr>
      <w:r>
        <w:rPr>
          <w:rFonts w:eastAsia="Arial" w:cs="Arial"/>
          <w:szCs w:val="22"/>
        </w:rPr>
        <w:t xml:space="preserve">Afin de ne pas réduire cette demande forte à un simple objectif dénué de toute contrainte, le présent amendement propose d’introduire un décret visant à préciser les modalités de développement du vrac, les produits devant être concernés et le rendre ainsi opérationnel. </w:t>
      </w:r>
    </w:p>
    <w:p w14:paraId="49A2860C" w14:textId="77777777" w:rsidR="00501FB8" w:rsidRDefault="00501FB8">
      <w:pPr>
        <w:jc w:val="both"/>
        <w:rPr>
          <w:rFonts w:eastAsia="Arial" w:cs="Arial"/>
          <w:szCs w:val="22"/>
        </w:rPr>
      </w:pPr>
    </w:p>
    <w:p w14:paraId="7AFD522C" w14:textId="3C0B6641" w:rsidR="00501FB8" w:rsidRDefault="00F63BB8">
      <w:pPr>
        <w:spacing w:line="276" w:lineRule="auto"/>
        <w:jc w:val="both"/>
        <w:rPr>
          <w:rFonts w:eastAsia="Arial" w:cs="Arial"/>
          <w:szCs w:val="22"/>
        </w:rPr>
      </w:pPr>
      <w:r>
        <w:rPr>
          <w:rFonts w:eastAsia="Arial" w:cs="Arial"/>
          <w:i/>
          <w:szCs w:val="22"/>
        </w:rPr>
        <w:t>(</w:t>
      </w:r>
      <w:r w:rsidR="00712FB0">
        <w:rPr>
          <w:rFonts w:eastAsia="Arial" w:cs="Arial"/>
          <w:i/>
          <w:szCs w:val="22"/>
        </w:rPr>
        <w:t>P</w:t>
      </w:r>
      <w:r>
        <w:rPr>
          <w:rFonts w:eastAsia="Arial" w:cs="Arial"/>
          <w:i/>
          <w:szCs w:val="22"/>
        </w:rPr>
        <w:t>roposition permettant de traduire les demandes de la Convention Citoyenne, voir “Consommer- Objectif 3” du rapport).</w:t>
      </w:r>
    </w:p>
    <w:p w14:paraId="63465DB0" w14:textId="77777777" w:rsidR="00501FB8" w:rsidRDefault="00501FB8">
      <w:pPr>
        <w:jc w:val="center"/>
        <w:rPr>
          <w:rFonts w:eastAsia="Arial" w:cs="Arial"/>
          <w:szCs w:val="22"/>
        </w:rPr>
      </w:pPr>
    </w:p>
    <w:p w14:paraId="19364444" w14:textId="77777777" w:rsidR="00501FB8" w:rsidRDefault="00501FB8" w:rsidP="00712FB0">
      <w:pPr>
        <w:rPr>
          <w:rFonts w:eastAsia="Arial" w:cs="Arial"/>
          <w:szCs w:val="22"/>
        </w:rPr>
      </w:pPr>
    </w:p>
    <w:p w14:paraId="51E59DF3" w14:textId="77777777" w:rsidR="00501FB8" w:rsidRDefault="00F63BB8">
      <w:pPr>
        <w:jc w:val="center"/>
        <w:rPr>
          <w:rFonts w:eastAsia="Arial" w:cs="Arial"/>
          <w:szCs w:val="22"/>
        </w:rPr>
      </w:pPr>
      <w:r>
        <w:br w:type="page"/>
      </w:r>
    </w:p>
    <w:p w14:paraId="70E9446C" w14:textId="77777777" w:rsidR="00501FB8" w:rsidRDefault="00501FB8">
      <w:pPr>
        <w:jc w:val="center"/>
        <w:rPr>
          <w:rFonts w:eastAsia="Arial" w:cs="Arial"/>
          <w:szCs w:val="22"/>
        </w:rPr>
      </w:pPr>
    </w:p>
    <w:p w14:paraId="626B4442" w14:textId="6DD2C564" w:rsidR="00501FB8" w:rsidRPr="00F46E87" w:rsidRDefault="00F63BB8" w:rsidP="00F46E87">
      <w:pPr>
        <w:pStyle w:val="Sansinterligne"/>
      </w:pPr>
      <w:bookmarkStart w:id="21" w:name="_Toc65685020"/>
      <w:bookmarkStart w:id="22" w:name="_Toc65685660"/>
      <w:bookmarkStart w:id="23" w:name="_Toc65687437"/>
      <w:r w:rsidRPr="00F46E87">
        <w:rPr>
          <w:rFonts w:eastAsia="Arial"/>
        </w:rPr>
        <w:t>Amendement n°5</w:t>
      </w:r>
      <w:bookmarkStart w:id="24" w:name="_heading=h.f5bslcvada71" w:colFirst="0" w:colLast="0"/>
      <w:bookmarkEnd w:id="24"/>
      <w:r w:rsidR="00F46E87" w:rsidRPr="00F46E87">
        <w:rPr>
          <w:rFonts w:eastAsia="Arial"/>
        </w:rPr>
        <w:t xml:space="preserve"> - </w:t>
      </w:r>
      <w:r w:rsidRPr="00F46E87">
        <w:rPr>
          <w:rFonts w:eastAsia="Arial"/>
        </w:rPr>
        <w:t>Évaluer l’opportunité de mettre en place un crédit d’impôt réparation pour inciter à la réparation des produits</w:t>
      </w:r>
      <w:bookmarkEnd w:id="21"/>
      <w:bookmarkEnd w:id="22"/>
      <w:bookmarkEnd w:id="23"/>
    </w:p>
    <w:p w14:paraId="48269568" w14:textId="77777777" w:rsidR="00501FB8" w:rsidRDefault="00501FB8">
      <w:pPr>
        <w:rPr>
          <w:rFonts w:eastAsia="Arial" w:cs="Arial"/>
          <w:b/>
          <w:szCs w:val="22"/>
        </w:rPr>
      </w:pPr>
    </w:p>
    <w:p w14:paraId="0B3E932C" w14:textId="77777777" w:rsidR="00501FB8" w:rsidRDefault="00F63BB8">
      <w:pPr>
        <w:jc w:val="center"/>
        <w:rPr>
          <w:rFonts w:eastAsia="Arial" w:cs="Arial"/>
          <w:szCs w:val="22"/>
        </w:rPr>
      </w:pPr>
      <w:r>
        <w:rPr>
          <w:rFonts w:eastAsia="Arial" w:cs="Arial"/>
          <w:szCs w:val="22"/>
        </w:rPr>
        <w:t>Présenté par</w:t>
      </w:r>
    </w:p>
    <w:p w14:paraId="7AA0B109" w14:textId="77777777" w:rsidR="00501FB8" w:rsidRDefault="00F63BB8">
      <w:pPr>
        <w:jc w:val="center"/>
        <w:rPr>
          <w:rFonts w:eastAsia="Arial" w:cs="Arial"/>
          <w:szCs w:val="22"/>
        </w:rPr>
      </w:pPr>
      <w:r>
        <w:rPr>
          <w:rFonts w:eastAsia="Arial" w:cs="Arial"/>
          <w:szCs w:val="22"/>
        </w:rPr>
        <w:t>…..</w:t>
      </w:r>
    </w:p>
    <w:p w14:paraId="01B48D00" w14:textId="77777777" w:rsidR="00501FB8" w:rsidRDefault="00501FB8">
      <w:pPr>
        <w:jc w:val="center"/>
        <w:rPr>
          <w:rFonts w:eastAsia="Arial" w:cs="Arial"/>
          <w:b/>
          <w:szCs w:val="22"/>
        </w:rPr>
      </w:pPr>
    </w:p>
    <w:p w14:paraId="0691EDAE" w14:textId="77777777" w:rsidR="00501FB8" w:rsidRDefault="00F63BB8">
      <w:pPr>
        <w:jc w:val="center"/>
        <w:rPr>
          <w:rFonts w:eastAsia="Arial" w:cs="Arial"/>
          <w:szCs w:val="22"/>
        </w:rPr>
      </w:pPr>
      <w:r>
        <w:rPr>
          <w:rFonts w:eastAsia="Arial" w:cs="Arial"/>
          <w:szCs w:val="22"/>
        </w:rPr>
        <w:t>Article additionnel</w:t>
      </w:r>
    </w:p>
    <w:p w14:paraId="2757D3ED" w14:textId="77777777" w:rsidR="00501FB8" w:rsidRDefault="00F63BB8">
      <w:pPr>
        <w:jc w:val="center"/>
        <w:rPr>
          <w:rFonts w:eastAsia="Arial" w:cs="Arial"/>
          <w:szCs w:val="22"/>
        </w:rPr>
      </w:pPr>
      <w:r>
        <w:rPr>
          <w:rFonts w:eastAsia="Arial" w:cs="Arial"/>
          <w:szCs w:val="22"/>
        </w:rPr>
        <w:t xml:space="preserve">Après l’article 13, intégrer un article supplémentaire ainsi rédigé : </w:t>
      </w:r>
    </w:p>
    <w:p w14:paraId="6F69FFE8" w14:textId="77777777" w:rsidR="00501FB8" w:rsidRDefault="00F63BB8">
      <w:pPr>
        <w:jc w:val="both"/>
        <w:rPr>
          <w:rFonts w:eastAsia="Arial" w:cs="Arial"/>
          <w:szCs w:val="22"/>
        </w:rPr>
      </w:pPr>
      <w:r>
        <w:rPr>
          <w:rFonts w:eastAsia="Arial" w:cs="Arial"/>
          <w:szCs w:val="22"/>
        </w:rPr>
        <w:t xml:space="preserve"> </w:t>
      </w:r>
    </w:p>
    <w:p w14:paraId="508B498D" w14:textId="77777777" w:rsidR="00501FB8" w:rsidRDefault="00F63BB8">
      <w:pPr>
        <w:jc w:val="both"/>
        <w:rPr>
          <w:rFonts w:eastAsia="Arial" w:cs="Arial"/>
          <w:szCs w:val="22"/>
        </w:rPr>
      </w:pPr>
      <w:r>
        <w:rPr>
          <w:rFonts w:eastAsia="Arial" w:cs="Arial"/>
          <w:szCs w:val="22"/>
        </w:rPr>
        <w:t xml:space="preserve">“Le Gouvernement remet au Parlement, avec le dépôt du projet de loi de finances pour 2021, un rapport sur l’opportunité de mettre en place un crédit d’impôt sur la réparation. </w:t>
      </w:r>
    </w:p>
    <w:p w14:paraId="0A91756D" w14:textId="77777777" w:rsidR="00501FB8" w:rsidRDefault="00F63BB8">
      <w:pPr>
        <w:rPr>
          <w:rFonts w:eastAsia="Arial" w:cs="Arial"/>
          <w:szCs w:val="22"/>
        </w:rPr>
      </w:pPr>
      <w:r>
        <w:rPr>
          <w:rFonts w:eastAsia="Arial" w:cs="Arial"/>
          <w:szCs w:val="22"/>
        </w:rPr>
        <w:t xml:space="preserve"> </w:t>
      </w:r>
    </w:p>
    <w:p w14:paraId="095289DA" w14:textId="737681E5" w:rsidR="00501FB8" w:rsidRPr="00F46E87" w:rsidRDefault="00F46E87">
      <w:pPr>
        <w:jc w:val="center"/>
        <w:rPr>
          <w:rFonts w:eastAsia="Arial" w:cs="Arial"/>
          <w:b/>
          <w:szCs w:val="22"/>
        </w:rPr>
      </w:pPr>
      <w:r w:rsidRPr="00F46E87">
        <w:rPr>
          <w:rFonts w:eastAsia="Arial" w:cs="Arial"/>
          <w:b/>
          <w:szCs w:val="22"/>
        </w:rPr>
        <w:t>Exposé sommaire</w:t>
      </w:r>
    </w:p>
    <w:p w14:paraId="3E7F2CF6" w14:textId="77777777" w:rsidR="00501FB8" w:rsidRDefault="00F63BB8">
      <w:pPr>
        <w:rPr>
          <w:rFonts w:eastAsia="Arial" w:cs="Arial"/>
          <w:szCs w:val="22"/>
        </w:rPr>
      </w:pPr>
      <w:r>
        <w:rPr>
          <w:rFonts w:eastAsia="Arial" w:cs="Arial"/>
          <w:szCs w:val="22"/>
        </w:rPr>
        <w:t xml:space="preserve"> </w:t>
      </w:r>
    </w:p>
    <w:p w14:paraId="2FECBF1F" w14:textId="77777777" w:rsidR="00501FB8" w:rsidRDefault="00F63BB8">
      <w:pPr>
        <w:jc w:val="both"/>
        <w:rPr>
          <w:rFonts w:eastAsia="Arial" w:cs="Arial"/>
          <w:b/>
          <w:szCs w:val="22"/>
        </w:rPr>
      </w:pPr>
      <w:r>
        <w:rPr>
          <w:rFonts w:eastAsia="Arial" w:cs="Arial"/>
          <w:b/>
          <w:szCs w:val="22"/>
        </w:rPr>
        <w:t>La création d’un crédit d’impôt sur la réparation comme aide financière aux réparations est une proposition issue de la Convention citoyenne pour le climat. Elle figure dans la proposition PT1.3 du volet “Produire et Travailler” du rapport final de la Convention citoyenne.</w:t>
      </w:r>
    </w:p>
    <w:p w14:paraId="286CD55D" w14:textId="77777777" w:rsidR="00501FB8" w:rsidRDefault="00501FB8">
      <w:pPr>
        <w:jc w:val="both"/>
        <w:rPr>
          <w:rFonts w:eastAsia="Arial" w:cs="Arial"/>
          <w:szCs w:val="22"/>
        </w:rPr>
      </w:pPr>
    </w:p>
    <w:p w14:paraId="7242271A" w14:textId="77777777" w:rsidR="00501FB8" w:rsidRDefault="00F63BB8">
      <w:pPr>
        <w:jc w:val="both"/>
        <w:rPr>
          <w:rFonts w:eastAsia="Arial" w:cs="Arial"/>
          <w:szCs w:val="22"/>
        </w:rPr>
      </w:pPr>
      <w:r>
        <w:rPr>
          <w:rFonts w:eastAsia="Arial" w:cs="Arial"/>
          <w:szCs w:val="22"/>
        </w:rPr>
        <w:t xml:space="preserve">Cette proposition a également été évoquée à plusieurs reprises pendant les travaux sur la feuille de route économie circulaire, mais aucune étude n’a été réalisée pour le moment sur l’opportunité de mettre en place un crédit d’impôt sur les activités liées à la réparation. Cette mesure viserait à inciter financièrement à réparer les produits plutôt que d’en acheter de nouveaux, et donc à réduire les déchets. </w:t>
      </w:r>
    </w:p>
    <w:p w14:paraId="6EE2F3DF" w14:textId="77777777" w:rsidR="00501FB8" w:rsidRDefault="00501FB8">
      <w:pPr>
        <w:jc w:val="both"/>
        <w:rPr>
          <w:rFonts w:eastAsia="Arial" w:cs="Arial"/>
          <w:szCs w:val="22"/>
        </w:rPr>
      </w:pPr>
    </w:p>
    <w:p w14:paraId="1BAB676C" w14:textId="0851E93A" w:rsidR="00501FB8" w:rsidRPr="00712FB0" w:rsidRDefault="00F63BB8" w:rsidP="00712FB0">
      <w:pPr>
        <w:jc w:val="both"/>
        <w:rPr>
          <w:rFonts w:eastAsia="Arial" w:cs="Arial"/>
          <w:szCs w:val="22"/>
        </w:rPr>
      </w:pPr>
      <w:r>
        <w:rPr>
          <w:rFonts w:eastAsia="Arial" w:cs="Arial"/>
          <w:szCs w:val="22"/>
        </w:rPr>
        <w:t xml:space="preserve">Cet amendement vise donc à lancer une étude sur l’opportunité de mettre en place un tel dispositif. </w:t>
      </w:r>
      <w:r>
        <w:br w:type="page"/>
      </w:r>
    </w:p>
    <w:p w14:paraId="19AB659D" w14:textId="742B6E8D" w:rsidR="00501FB8" w:rsidRPr="00C477A6" w:rsidRDefault="00F63BB8" w:rsidP="00C477A6">
      <w:pPr>
        <w:pStyle w:val="SECTION"/>
      </w:pPr>
      <w:bookmarkStart w:id="25" w:name="_Toc65492954"/>
      <w:bookmarkStart w:id="26" w:name="_Toc65687438"/>
      <w:r w:rsidRPr="00C477A6">
        <w:lastRenderedPageBreak/>
        <w:t xml:space="preserve">TITRE II </w:t>
      </w:r>
      <w:r w:rsidR="00503E7B" w:rsidRPr="00C477A6">
        <w:t xml:space="preserve">- </w:t>
      </w:r>
      <w:r w:rsidRPr="00C477A6">
        <w:t>PRODUIRE ET TRAVAILLER</w:t>
      </w:r>
      <w:bookmarkEnd w:id="25"/>
      <w:bookmarkEnd w:id="26"/>
    </w:p>
    <w:p w14:paraId="49ABDFE4" w14:textId="77777777" w:rsidR="00503E7B" w:rsidRDefault="00503E7B">
      <w:pPr>
        <w:jc w:val="center"/>
        <w:rPr>
          <w:rFonts w:eastAsia="Arial" w:cs="Arial"/>
          <w:b/>
          <w:color w:val="6EBC57"/>
          <w:sz w:val="28"/>
          <w:szCs w:val="28"/>
        </w:rPr>
      </w:pPr>
    </w:p>
    <w:p w14:paraId="5F660788" w14:textId="0C93EB19" w:rsidR="00501FB8" w:rsidRPr="00C477A6" w:rsidRDefault="00F63BB8" w:rsidP="00C477A6">
      <w:pPr>
        <w:pStyle w:val="SOUSTITRE2"/>
      </w:pPr>
      <w:bookmarkStart w:id="27" w:name="_Toc65492955"/>
      <w:bookmarkStart w:id="28" w:name="_Toc65685661"/>
      <w:bookmarkStart w:id="29" w:name="_Toc65687439"/>
      <w:r w:rsidRPr="00C477A6">
        <w:t xml:space="preserve">Chapitre </w:t>
      </w:r>
      <w:r w:rsidR="00503E7B" w:rsidRPr="00C477A6">
        <w:t>I</w:t>
      </w:r>
      <w:r w:rsidR="00503E7B" w:rsidRPr="00C477A6">
        <w:rPr>
          <w:vertAlign w:val="superscript"/>
        </w:rPr>
        <w:t>er</w:t>
      </w:r>
      <w:r w:rsidRPr="00C477A6">
        <w:t xml:space="preserve"> </w:t>
      </w:r>
      <w:r w:rsidR="00503E7B" w:rsidRPr="00C477A6">
        <w:t>- V</w:t>
      </w:r>
      <w:r w:rsidRPr="00C477A6">
        <w:t>erdir l’économie</w:t>
      </w:r>
      <w:bookmarkEnd w:id="27"/>
      <w:bookmarkEnd w:id="28"/>
      <w:bookmarkEnd w:id="29"/>
    </w:p>
    <w:p w14:paraId="683BE1E4"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szCs w:val="22"/>
        </w:rPr>
      </w:pPr>
    </w:p>
    <w:p w14:paraId="5C55E0D6"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szCs w:val="22"/>
        </w:rPr>
      </w:pPr>
    </w:p>
    <w:p w14:paraId="2D25EDA7" w14:textId="7C726B0A" w:rsidR="00501FB8" w:rsidRPr="00F46E87" w:rsidRDefault="00F63BB8" w:rsidP="00F46E87">
      <w:pPr>
        <w:pStyle w:val="Sansinterligne"/>
        <w:rPr>
          <w:rFonts w:eastAsia="Arial" w:cs="Arial"/>
          <w:szCs w:val="22"/>
        </w:rPr>
      </w:pPr>
      <w:bookmarkStart w:id="30" w:name="_Toc65685021"/>
      <w:bookmarkStart w:id="31" w:name="_Toc65685662"/>
      <w:bookmarkStart w:id="32" w:name="_Toc65687440"/>
      <w:r>
        <w:rPr>
          <w:rFonts w:eastAsia="Arial" w:cs="Arial"/>
          <w:szCs w:val="22"/>
        </w:rPr>
        <w:t xml:space="preserve">Amendement n° 6 </w:t>
      </w:r>
      <w:r w:rsidR="00F46E87">
        <w:rPr>
          <w:rFonts w:eastAsia="Arial" w:cs="Arial"/>
          <w:szCs w:val="22"/>
        </w:rPr>
        <w:t>(</w:t>
      </w:r>
      <w:r w:rsidR="00503E7B">
        <w:rPr>
          <w:rFonts w:eastAsia="Arial" w:cs="Arial"/>
          <w:szCs w:val="22"/>
        </w:rPr>
        <w:t>P</w:t>
      </w:r>
      <w:r>
        <w:rPr>
          <w:rFonts w:eastAsia="Arial" w:cs="Arial"/>
          <w:szCs w:val="22"/>
        </w:rPr>
        <w:t>rioritaire</w:t>
      </w:r>
      <w:r w:rsidR="00F46E87">
        <w:rPr>
          <w:rFonts w:eastAsia="Arial" w:cs="Arial"/>
          <w:szCs w:val="22"/>
        </w:rPr>
        <w:t xml:space="preserve">) - </w:t>
      </w:r>
      <w:r w:rsidRPr="00503E7B">
        <w:rPr>
          <w:rFonts w:eastAsia="Arial"/>
        </w:rPr>
        <w:t>Financer l’économie circulaire par une taxe générale sur les activités polluantes plus incitative</w:t>
      </w:r>
      <w:bookmarkEnd w:id="30"/>
      <w:bookmarkEnd w:id="31"/>
      <w:bookmarkEnd w:id="32"/>
    </w:p>
    <w:p w14:paraId="231AF04B" w14:textId="77777777" w:rsidR="00501FB8" w:rsidRDefault="00501FB8">
      <w:pPr>
        <w:jc w:val="center"/>
        <w:rPr>
          <w:rFonts w:eastAsia="Arial" w:cs="Arial"/>
          <w:b/>
          <w:szCs w:val="22"/>
        </w:rPr>
      </w:pPr>
    </w:p>
    <w:p w14:paraId="5B8131CE" w14:textId="77777777" w:rsidR="00501FB8" w:rsidRDefault="00F63BB8">
      <w:pPr>
        <w:spacing w:line="276" w:lineRule="auto"/>
        <w:jc w:val="center"/>
        <w:rPr>
          <w:rFonts w:eastAsia="Arial" w:cs="Arial"/>
          <w:szCs w:val="22"/>
        </w:rPr>
      </w:pPr>
      <w:r>
        <w:rPr>
          <w:rFonts w:eastAsia="Arial" w:cs="Arial"/>
          <w:szCs w:val="22"/>
        </w:rPr>
        <w:t>Présenté par</w:t>
      </w:r>
    </w:p>
    <w:p w14:paraId="06608D65" w14:textId="77777777" w:rsidR="00501FB8" w:rsidRDefault="00F63BB8">
      <w:pPr>
        <w:spacing w:line="276" w:lineRule="auto"/>
        <w:jc w:val="center"/>
        <w:rPr>
          <w:rFonts w:eastAsia="Arial" w:cs="Arial"/>
          <w:b/>
          <w:szCs w:val="22"/>
        </w:rPr>
      </w:pPr>
      <w:r>
        <w:rPr>
          <w:rFonts w:eastAsia="Arial" w:cs="Arial"/>
          <w:szCs w:val="22"/>
        </w:rPr>
        <w:t>……...</w:t>
      </w:r>
    </w:p>
    <w:p w14:paraId="411D2233" w14:textId="77777777" w:rsidR="00501FB8" w:rsidRDefault="00501FB8">
      <w:pPr>
        <w:jc w:val="center"/>
        <w:rPr>
          <w:rFonts w:eastAsia="Arial" w:cs="Arial"/>
          <w:szCs w:val="22"/>
        </w:rPr>
      </w:pPr>
    </w:p>
    <w:p w14:paraId="15B5D572" w14:textId="194C4304" w:rsidR="00501FB8" w:rsidRDefault="00F46E87">
      <w:pPr>
        <w:jc w:val="center"/>
        <w:rPr>
          <w:rFonts w:eastAsia="Arial" w:cs="Arial"/>
          <w:szCs w:val="22"/>
        </w:rPr>
      </w:pPr>
      <w:r>
        <w:rPr>
          <w:rFonts w:eastAsia="Arial" w:cs="Arial"/>
          <w:szCs w:val="22"/>
        </w:rPr>
        <w:t>A</w:t>
      </w:r>
      <w:r w:rsidR="00F63BB8">
        <w:rPr>
          <w:rFonts w:eastAsia="Arial" w:cs="Arial"/>
          <w:szCs w:val="22"/>
        </w:rPr>
        <w:t>rticle additionnel</w:t>
      </w:r>
    </w:p>
    <w:p w14:paraId="37DEE827" w14:textId="29DF0E0C" w:rsidR="00F46E87" w:rsidRDefault="00F46E87" w:rsidP="00F46E87">
      <w:pPr>
        <w:jc w:val="center"/>
        <w:rPr>
          <w:rFonts w:eastAsia="Arial" w:cs="Arial"/>
          <w:szCs w:val="22"/>
        </w:rPr>
      </w:pPr>
      <w:r>
        <w:rPr>
          <w:rFonts w:eastAsia="Arial" w:cs="Arial"/>
          <w:szCs w:val="22"/>
        </w:rPr>
        <w:t>A</w:t>
      </w:r>
      <w:r w:rsidR="00F63BB8">
        <w:rPr>
          <w:rFonts w:eastAsia="Arial" w:cs="Arial"/>
          <w:szCs w:val="22"/>
        </w:rPr>
        <w:t>près l’article 13</w:t>
      </w:r>
      <w:r>
        <w:rPr>
          <w:rFonts w:eastAsia="Arial" w:cs="Arial"/>
          <w:szCs w:val="22"/>
        </w:rPr>
        <w:t>, insérer un article supplémentaire ainsi rédigé :</w:t>
      </w:r>
    </w:p>
    <w:p w14:paraId="0C1CB5CB" w14:textId="77777777" w:rsidR="00501FB8" w:rsidRDefault="00501FB8" w:rsidP="00F46E87">
      <w:pPr>
        <w:rPr>
          <w:rFonts w:eastAsia="Arial" w:cs="Arial"/>
          <w:szCs w:val="22"/>
        </w:rPr>
      </w:pPr>
    </w:p>
    <w:p w14:paraId="21A6E3CF" w14:textId="496CF910" w:rsidR="00501FB8" w:rsidRDefault="00F63BB8">
      <w:pPr>
        <w:jc w:val="both"/>
        <w:rPr>
          <w:rFonts w:eastAsia="Arial" w:cs="Arial"/>
          <w:b/>
          <w:szCs w:val="22"/>
          <w:u w:val="single"/>
        </w:rPr>
      </w:pPr>
      <w:r>
        <w:rPr>
          <w:rFonts w:eastAsia="Arial" w:cs="Arial"/>
          <w:szCs w:val="22"/>
        </w:rPr>
        <w:t>“Le Gouvernement remet au Parlement, avec le dépôt du projet de loi de finances pour 2021,</w:t>
      </w:r>
      <w:r w:rsidR="00712FB0">
        <w:rPr>
          <w:rFonts w:eastAsia="Arial" w:cs="Arial"/>
          <w:szCs w:val="22"/>
        </w:rPr>
        <w:t xml:space="preserve"> </w:t>
      </w:r>
      <w:r>
        <w:rPr>
          <w:rFonts w:eastAsia="Arial" w:cs="Arial"/>
          <w:szCs w:val="22"/>
        </w:rPr>
        <w:t>un rapport sur l’opportunité d’introduire des modalités incitatives dans le calcul de la taxe générale des activités polluantes ainsi que sur son affectation à l’économie circulaire”</w:t>
      </w:r>
    </w:p>
    <w:p w14:paraId="1A7E45DB" w14:textId="77777777" w:rsidR="00501FB8" w:rsidRDefault="00501FB8">
      <w:pPr>
        <w:rPr>
          <w:rFonts w:eastAsia="Arial" w:cs="Arial"/>
          <w:b/>
          <w:szCs w:val="22"/>
          <w:u w:val="single"/>
        </w:rPr>
      </w:pPr>
    </w:p>
    <w:p w14:paraId="794AAB3C" w14:textId="77777777" w:rsidR="00501FB8" w:rsidRDefault="00501FB8">
      <w:pPr>
        <w:rPr>
          <w:rFonts w:eastAsia="Arial" w:cs="Arial"/>
          <w:b/>
          <w:szCs w:val="22"/>
          <w:u w:val="single"/>
        </w:rPr>
      </w:pPr>
    </w:p>
    <w:p w14:paraId="40982458" w14:textId="09C36076" w:rsidR="00501FB8" w:rsidRPr="00F46E87" w:rsidRDefault="00F46E87">
      <w:pPr>
        <w:jc w:val="center"/>
        <w:rPr>
          <w:rFonts w:eastAsia="Arial" w:cs="Arial"/>
          <w:b/>
          <w:szCs w:val="22"/>
        </w:rPr>
      </w:pPr>
      <w:r w:rsidRPr="00F46E87">
        <w:rPr>
          <w:rFonts w:eastAsia="Arial" w:cs="Arial"/>
          <w:b/>
          <w:szCs w:val="22"/>
        </w:rPr>
        <w:t>Exposé sommaire</w:t>
      </w:r>
    </w:p>
    <w:p w14:paraId="27B70E13" w14:textId="77777777" w:rsidR="00501FB8" w:rsidRDefault="00501FB8">
      <w:pPr>
        <w:jc w:val="center"/>
        <w:rPr>
          <w:rFonts w:eastAsia="Arial" w:cs="Arial"/>
          <w:b/>
          <w:szCs w:val="22"/>
        </w:rPr>
      </w:pPr>
    </w:p>
    <w:p w14:paraId="34A3BB08" w14:textId="749BADFB" w:rsidR="00501FB8" w:rsidRDefault="00F63BB8">
      <w:pPr>
        <w:rPr>
          <w:rFonts w:eastAsia="Arial" w:cs="Arial"/>
          <w:b/>
          <w:szCs w:val="22"/>
        </w:rPr>
      </w:pPr>
      <w:r>
        <w:rPr>
          <w:rFonts w:eastAsia="Arial" w:cs="Arial"/>
          <w:b/>
          <w:szCs w:val="22"/>
        </w:rPr>
        <w:t xml:space="preserve">Cet amendement est une traduction de la demande “d’assurer que 90 % des revenus de la taxe générale sur les activités polluantes (TGAP) aille à la prévention et à l’amélioration des réseaux de tri sélectif et au </w:t>
      </w:r>
      <w:proofErr w:type="spellStart"/>
      <w:r>
        <w:rPr>
          <w:rFonts w:eastAsia="Arial" w:cs="Arial"/>
          <w:b/>
          <w:szCs w:val="22"/>
        </w:rPr>
        <w:t>recyclage”issue</w:t>
      </w:r>
      <w:proofErr w:type="spellEnd"/>
      <w:r>
        <w:rPr>
          <w:rFonts w:eastAsia="Arial" w:cs="Arial"/>
          <w:b/>
          <w:szCs w:val="22"/>
        </w:rPr>
        <w:t xml:space="preserve"> du rapport final de la Convention citoyenne pour le Climat. </w:t>
      </w:r>
    </w:p>
    <w:p w14:paraId="136E67DA" w14:textId="77777777" w:rsidR="00712FB0" w:rsidRDefault="00712FB0">
      <w:pPr>
        <w:rPr>
          <w:rFonts w:eastAsia="Arial" w:cs="Arial"/>
          <w:b/>
          <w:szCs w:val="22"/>
        </w:rPr>
      </w:pPr>
    </w:p>
    <w:p w14:paraId="084AEA5E" w14:textId="0D92DECE" w:rsidR="00501FB8" w:rsidRDefault="00F63BB8">
      <w:pPr>
        <w:jc w:val="both"/>
        <w:rPr>
          <w:rFonts w:eastAsia="Arial" w:cs="Arial"/>
          <w:szCs w:val="22"/>
        </w:rPr>
      </w:pPr>
      <w:r>
        <w:rPr>
          <w:rFonts w:eastAsia="Arial" w:cs="Arial"/>
          <w:szCs w:val="22"/>
        </w:rPr>
        <w:t>Le mouvement des gilets jaunes, qui a débouché sur la création de la Convention citoyenne pour le climat, s’est constitué en réaction à la hausse initialement prévue de la “taxe carbone”.  Son rejet massif par une partie des Français a mis en évidence le manque de transparence dans l’utilisation des recettes de la fiscalité écologique, le manque de dispositif incitatif en lien avec cette fiscalité et le manque de dispositifs de protection des Français les plus précaires. Cette fiscalité a ainsi été perçue comme incohérente et injustement punitive par une partie des Français, et a donc été considérée comme « une taxe de plus », visant essentiellement à dégager de nouvelles recettes sous couvert d’écologie.</w:t>
      </w:r>
    </w:p>
    <w:p w14:paraId="567A38AF" w14:textId="77777777" w:rsidR="00712FB0" w:rsidRDefault="00712FB0">
      <w:pPr>
        <w:jc w:val="both"/>
        <w:rPr>
          <w:rFonts w:eastAsia="Arial" w:cs="Arial"/>
          <w:szCs w:val="22"/>
        </w:rPr>
      </w:pPr>
    </w:p>
    <w:p w14:paraId="3D0DBE10" w14:textId="77777777" w:rsidR="00501FB8" w:rsidRDefault="00F63BB8">
      <w:pPr>
        <w:jc w:val="both"/>
        <w:rPr>
          <w:rFonts w:eastAsia="Arial" w:cs="Arial"/>
          <w:szCs w:val="22"/>
        </w:rPr>
      </w:pPr>
      <w:r>
        <w:rPr>
          <w:rFonts w:eastAsia="Arial" w:cs="Arial"/>
          <w:szCs w:val="22"/>
        </w:rPr>
        <w:t xml:space="preserve">Le présent amendement vise donc à s’interroger la taxe générale des activités polluantes afin que celle-ci soit plus incitative et que ses recettes soient directement utilisées pour favoriser le développement et la transition vers une économie circulaire. </w:t>
      </w:r>
    </w:p>
    <w:p w14:paraId="53414234" w14:textId="77777777" w:rsidR="00501FB8" w:rsidRDefault="00501FB8">
      <w:pPr>
        <w:rPr>
          <w:rFonts w:eastAsia="Arial" w:cs="Arial"/>
          <w:b/>
          <w:szCs w:val="22"/>
        </w:rPr>
      </w:pPr>
    </w:p>
    <w:p w14:paraId="0995AF4B" w14:textId="77777777" w:rsidR="00501FB8" w:rsidRDefault="00501FB8">
      <w:pPr>
        <w:jc w:val="center"/>
        <w:rPr>
          <w:rFonts w:eastAsia="Arial" w:cs="Arial"/>
          <w:b/>
          <w:szCs w:val="22"/>
          <w:u w:val="single"/>
        </w:rPr>
      </w:pPr>
    </w:p>
    <w:p w14:paraId="4E728106" w14:textId="77777777" w:rsidR="00501FB8" w:rsidRDefault="00501FB8">
      <w:pPr>
        <w:jc w:val="center"/>
        <w:rPr>
          <w:rFonts w:eastAsia="Arial" w:cs="Arial"/>
          <w:b/>
          <w:szCs w:val="22"/>
          <w:u w:val="single"/>
        </w:rPr>
      </w:pPr>
    </w:p>
    <w:p w14:paraId="19CCA68A" w14:textId="77777777" w:rsidR="00501FB8" w:rsidRDefault="00501FB8">
      <w:pPr>
        <w:rPr>
          <w:rFonts w:eastAsia="Arial" w:cs="Arial"/>
          <w:b/>
          <w:szCs w:val="22"/>
        </w:rPr>
      </w:pPr>
    </w:p>
    <w:p w14:paraId="5B1DAA10" w14:textId="77777777" w:rsidR="00501FB8" w:rsidRDefault="00F63BB8">
      <w:pPr>
        <w:jc w:val="center"/>
        <w:rPr>
          <w:rFonts w:eastAsia="Arial" w:cs="Arial"/>
          <w:b/>
          <w:szCs w:val="22"/>
        </w:rPr>
      </w:pPr>
      <w:r>
        <w:br w:type="page"/>
      </w:r>
    </w:p>
    <w:p w14:paraId="7BD2FE72" w14:textId="0F80D331" w:rsidR="00501FB8" w:rsidRPr="00F46E87" w:rsidRDefault="00F63BB8" w:rsidP="00F46E87">
      <w:pPr>
        <w:pStyle w:val="Sansinterligne"/>
        <w:rPr>
          <w:rFonts w:eastAsia="Arial"/>
        </w:rPr>
      </w:pPr>
      <w:bookmarkStart w:id="33" w:name="_Toc65685022"/>
      <w:bookmarkStart w:id="34" w:name="_Toc65685663"/>
      <w:bookmarkStart w:id="35" w:name="_Toc65687441"/>
      <w:r w:rsidRPr="00F46E87">
        <w:rPr>
          <w:rFonts w:eastAsia="Arial"/>
        </w:rPr>
        <w:lastRenderedPageBreak/>
        <w:t xml:space="preserve">Amendement </w:t>
      </w:r>
      <w:r w:rsidR="00503E7B" w:rsidRPr="00F46E87">
        <w:rPr>
          <w:rFonts w:eastAsia="Arial"/>
        </w:rPr>
        <w:t>n°</w:t>
      </w:r>
      <w:r w:rsidRPr="00F46E87">
        <w:rPr>
          <w:rFonts w:eastAsia="Arial"/>
        </w:rPr>
        <w:t xml:space="preserve">7 </w:t>
      </w:r>
      <w:r w:rsidR="00F46E87" w:rsidRPr="00F46E87">
        <w:rPr>
          <w:rFonts w:eastAsia="Arial"/>
        </w:rPr>
        <w:t>(</w:t>
      </w:r>
      <w:r w:rsidR="00503E7B" w:rsidRPr="00F46E87">
        <w:rPr>
          <w:rFonts w:eastAsia="Arial"/>
        </w:rPr>
        <w:t>P</w:t>
      </w:r>
      <w:r w:rsidRPr="00F46E87">
        <w:rPr>
          <w:rFonts w:eastAsia="Arial"/>
        </w:rPr>
        <w:t>rioritaire</w:t>
      </w:r>
      <w:r w:rsidR="00F46E87" w:rsidRPr="00F46E87">
        <w:rPr>
          <w:rFonts w:eastAsia="Arial"/>
        </w:rPr>
        <w:t xml:space="preserve">) - </w:t>
      </w:r>
      <w:r w:rsidRPr="00F46E87">
        <w:rPr>
          <w:rFonts w:eastAsia="Arial"/>
        </w:rPr>
        <w:t>Reporter d’un an l’augmentation de TGAP</w:t>
      </w:r>
      <w:bookmarkEnd w:id="33"/>
      <w:bookmarkEnd w:id="34"/>
      <w:bookmarkEnd w:id="35"/>
    </w:p>
    <w:p w14:paraId="68785AA4" w14:textId="77777777" w:rsidR="00501FB8" w:rsidRDefault="00501FB8">
      <w:pPr>
        <w:jc w:val="center"/>
        <w:rPr>
          <w:rFonts w:eastAsia="Arial" w:cs="Arial"/>
          <w:b/>
          <w:szCs w:val="22"/>
        </w:rPr>
      </w:pPr>
    </w:p>
    <w:p w14:paraId="6C3A2FE6" w14:textId="77777777" w:rsidR="00501FB8" w:rsidRDefault="00F63BB8">
      <w:pPr>
        <w:spacing w:line="276" w:lineRule="auto"/>
        <w:jc w:val="center"/>
        <w:rPr>
          <w:rFonts w:eastAsia="Arial" w:cs="Arial"/>
          <w:szCs w:val="22"/>
        </w:rPr>
      </w:pPr>
      <w:r>
        <w:rPr>
          <w:rFonts w:eastAsia="Arial" w:cs="Arial"/>
          <w:szCs w:val="22"/>
        </w:rPr>
        <w:t>Présenté par</w:t>
      </w:r>
    </w:p>
    <w:p w14:paraId="0F4C8118" w14:textId="77777777" w:rsidR="00501FB8" w:rsidRDefault="00F63BB8">
      <w:pPr>
        <w:spacing w:line="276" w:lineRule="auto"/>
        <w:jc w:val="center"/>
        <w:rPr>
          <w:rFonts w:eastAsia="Arial" w:cs="Arial"/>
          <w:b/>
          <w:szCs w:val="22"/>
        </w:rPr>
      </w:pPr>
      <w:r>
        <w:rPr>
          <w:rFonts w:eastAsia="Arial" w:cs="Arial"/>
          <w:szCs w:val="22"/>
        </w:rPr>
        <w:t>……...</w:t>
      </w:r>
    </w:p>
    <w:p w14:paraId="050136FC" w14:textId="77777777" w:rsidR="00501FB8" w:rsidRDefault="00501FB8">
      <w:pPr>
        <w:jc w:val="center"/>
        <w:rPr>
          <w:rFonts w:eastAsia="Arial" w:cs="Arial"/>
          <w:szCs w:val="22"/>
        </w:rPr>
      </w:pPr>
    </w:p>
    <w:p w14:paraId="1AA71D0B" w14:textId="7CA26942" w:rsidR="00501FB8" w:rsidRDefault="00503E7B">
      <w:pPr>
        <w:jc w:val="center"/>
        <w:rPr>
          <w:rFonts w:eastAsia="Arial" w:cs="Arial"/>
          <w:szCs w:val="22"/>
        </w:rPr>
      </w:pPr>
      <w:r>
        <w:rPr>
          <w:rFonts w:eastAsia="Arial" w:cs="Arial"/>
          <w:szCs w:val="22"/>
        </w:rPr>
        <w:t>A</w:t>
      </w:r>
      <w:r w:rsidR="00F63BB8">
        <w:rPr>
          <w:rFonts w:eastAsia="Arial" w:cs="Arial"/>
          <w:szCs w:val="22"/>
        </w:rPr>
        <w:t>rticle additionnel</w:t>
      </w:r>
    </w:p>
    <w:p w14:paraId="6DB13A75" w14:textId="4E34AAA6" w:rsidR="00503E7B" w:rsidRDefault="00503E7B" w:rsidP="00503E7B">
      <w:pPr>
        <w:spacing w:line="276" w:lineRule="auto"/>
        <w:jc w:val="center"/>
        <w:rPr>
          <w:rFonts w:eastAsia="Arial" w:cs="Arial"/>
          <w:szCs w:val="22"/>
        </w:rPr>
      </w:pPr>
      <w:r>
        <w:rPr>
          <w:rFonts w:eastAsia="Arial" w:cs="Arial"/>
          <w:szCs w:val="22"/>
        </w:rPr>
        <w:t>A</w:t>
      </w:r>
      <w:r w:rsidR="00F63BB8">
        <w:rPr>
          <w:rFonts w:eastAsia="Arial" w:cs="Arial"/>
          <w:szCs w:val="22"/>
        </w:rPr>
        <w:t>près l’article 13</w:t>
      </w:r>
      <w:r>
        <w:rPr>
          <w:rFonts w:eastAsia="Arial" w:cs="Arial"/>
          <w:szCs w:val="22"/>
        </w:rPr>
        <w:t xml:space="preserve">, </w:t>
      </w:r>
      <w:r w:rsidR="00F46E87">
        <w:rPr>
          <w:rFonts w:eastAsia="Arial" w:cs="Arial"/>
          <w:szCs w:val="22"/>
        </w:rPr>
        <w:t>I</w:t>
      </w:r>
      <w:r>
        <w:rPr>
          <w:rFonts w:eastAsia="Arial" w:cs="Arial"/>
          <w:szCs w:val="22"/>
        </w:rPr>
        <w:t>nsérer un article supplémentaire ainsi rédigé :</w:t>
      </w:r>
    </w:p>
    <w:p w14:paraId="504CE18D" w14:textId="1C731CE2" w:rsidR="00501FB8" w:rsidRDefault="00501FB8">
      <w:pPr>
        <w:spacing w:line="276" w:lineRule="auto"/>
        <w:rPr>
          <w:rFonts w:eastAsia="Arial" w:cs="Arial"/>
          <w:szCs w:val="22"/>
        </w:rPr>
      </w:pPr>
    </w:p>
    <w:p w14:paraId="3075BEA8" w14:textId="77777777" w:rsidR="00501FB8" w:rsidRDefault="00F63BB8">
      <w:pPr>
        <w:spacing w:after="240" w:line="276" w:lineRule="auto"/>
        <w:rPr>
          <w:rFonts w:eastAsia="Arial" w:cs="Arial"/>
          <w:szCs w:val="22"/>
        </w:rPr>
      </w:pPr>
      <w:r>
        <w:rPr>
          <w:rFonts w:eastAsia="Arial" w:cs="Arial"/>
          <w:szCs w:val="22"/>
        </w:rPr>
        <w:t xml:space="preserve">I. Au A du 1 l’article 266 </w:t>
      </w:r>
      <w:proofErr w:type="spellStart"/>
      <w:r>
        <w:rPr>
          <w:rFonts w:eastAsia="Arial" w:cs="Arial"/>
          <w:szCs w:val="22"/>
        </w:rPr>
        <w:t>nonies</w:t>
      </w:r>
      <w:proofErr w:type="spellEnd"/>
      <w:r>
        <w:rPr>
          <w:rFonts w:eastAsia="Arial" w:cs="Arial"/>
          <w:szCs w:val="22"/>
        </w:rPr>
        <w:t xml:space="preserve"> du code des douanes, remplacer le tableau du a par le tableau suivant :</w:t>
      </w:r>
    </w:p>
    <w:p w14:paraId="3020041B" w14:textId="77777777" w:rsidR="00501FB8" w:rsidRDefault="00F63BB8">
      <w:pPr>
        <w:spacing w:line="276" w:lineRule="auto"/>
        <w:jc w:val="center"/>
        <w:rPr>
          <w:rFonts w:eastAsia="Arial" w:cs="Arial"/>
          <w:szCs w:val="22"/>
        </w:rPr>
      </w:pPr>
      <w:r>
        <w:rPr>
          <w:rFonts w:eastAsia="Arial" w:cs="Arial"/>
          <w:szCs w:val="22"/>
        </w:rPr>
        <w:t xml:space="preserve"> </w:t>
      </w:r>
    </w:p>
    <w:tbl>
      <w:tblPr>
        <w:tblStyle w:val="a"/>
        <w:tblW w:w="86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85"/>
        <w:gridCol w:w="1245"/>
        <w:gridCol w:w="705"/>
        <w:gridCol w:w="705"/>
        <w:gridCol w:w="705"/>
        <w:gridCol w:w="705"/>
        <w:gridCol w:w="705"/>
        <w:gridCol w:w="2070"/>
      </w:tblGrid>
      <w:tr w:rsidR="00501FB8" w14:paraId="3B8A1B96" w14:textId="77777777">
        <w:trPr>
          <w:trHeight w:val="960"/>
        </w:trPr>
        <w:tc>
          <w:tcPr>
            <w:tcW w:w="178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A47D0" w14:textId="77777777" w:rsidR="00501FB8" w:rsidRDefault="00F63BB8">
            <w:pPr>
              <w:spacing w:line="276" w:lineRule="auto"/>
              <w:jc w:val="center"/>
              <w:rPr>
                <w:rFonts w:eastAsia="Arial" w:cs="Arial"/>
                <w:sz w:val="20"/>
                <w:szCs w:val="20"/>
              </w:rPr>
            </w:pPr>
            <w:r>
              <w:rPr>
                <w:rFonts w:eastAsia="Arial" w:cs="Arial"/>
                <w:sz w:val="20"/>
                <w:szCs w:val="20"/>
              </w:rPr>
              <w:t>Désignation des installations de stockage de déchets non dangereux concernées</w:t>
            </w:r>
          </w:p>
        </w:tc>
        <w:tc>
          <w:tcPr>
            <w:tcW w:w="1245" w:type="dxa"/>
            <w:vMerge w:val="restart"/>
            <w:tcBorders>
              <w:top w:val="single" w:sz="8" w:space="0" w:color="000000"/>
              <w:bottom w:val="single" w:sz="8" w:space="0" w:color="000000"/>
              <w:right w:val="single" w:sz="4" w:space="0" w:color="000000"/>
            </w:tcBorders>
            <w:tcMar>
              <w:top w:w="100" w:type="dxa"/>
              <w:left w:w="100" w:type="dxa"/>
              <w:bottom w:w="100" w:type="dxa"/>
              <w:right w:w="100" w:type="dxa"/>
            </w:tcMar>
          </w:tcPr>
          <w:p w14:paraId="57B1E5C1" w14:textId="77777777" w:rsidR="00501FB8" w:rsidRDefault="00F63BB8">
            <w:pPr>
              <w:spacing w:line="276" w:lineRule="auto"/>
              <w:jc w:val="center"/>
              <w:rPr>
                <w:rFonts w:eastAsia="Arial" w:cs="Arial"/>
                <w:sz w:val="20"/>
                <w:szCs w:val="20"/>
              </w:rPr>
            </w:pPr>
            <w:r>
              <w:rPr>
                <w:rFonts w:eastAsia="Arial" w:cs="Arial"/>
                <w:sz w:val="20"/>
                <w:szCs w:val="20"/>
              </w:rPr>
              <w:t>Unité de perception</w:t>
            </w:r>
          </w:p>
        </w:tc>
        <w:tc>
          <w:tcPr>
            <w:tcW w:w="5595" w:type="dxa"/>
            <w:gridSpan w:val="6"/>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tcPr>
          <w:p w14:paraId="5EC80C3B" w14:textId="77777777" w:rsidR="00501FB8" w:rsidRDefault="00F63BB8">
            <w:pPr>
              <w:spacing w:line="276" w:lineRule="auto"/>
              <w:jc w:val="center"/>
              <w:rPr>
                <w:rFonts w:eastAsia="Arial" w:cs="Arial"/>
                <w:b/>
                <w:sz w:val="20"/>
                <w:szCs w:val="20"/>
              </w:rPr>
            </w:pPr>
            <w:r>
              <w:rPr>
                <w:rFonts w:eastAsia="Arial" w:cs="Arial"/>
                <w:b/>
                <w:sz w:val="20"/>
                <w:szCs w:val="20"/>
              </w:rPr>
              <w:t>Quotité en euros</w:t>
            </w:r>
          </w:p>
        </w:tc>
      </w:tr>
      <w:tr w:rsidR="00501FB8" w14:paraId="15E7EEA9" w14:textId="77777777">
        <w:trPr>
          <w:trHeight w:val="795"/>
        </w:trPr>
        <w:tc>
          <w:tcPr>
            <w:tcW w:w="178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10F67" w14:textId="77777777" w:rsidR="00501FB8" w:rsidRDefault="00501FB8">
            <w:pPr>
              <w:widowControl w:val="0"/>
              <w:spacing w:line="276" w:lineRule="auto"/>
              <w:rPr>
                <w:rFonts w:eastAsia="Arial" w:cs="Arial"/>
                <w:b/>
                <w:szCs w:val="22"/>
              </w:rPr>
            </w:pPr>
          </w:p>
        </w:tc>
        <w:tc>
          <w:tcPr>
            <w:tcW w:w="1245" w:type="dxa"/>
            <w:vMerge/>
            <w:tcBorders>
              <w:top w:val="single" w:sz="8" w:space="0" w:color="000000"/>
              <w:bottom w:val="single" w:sz="8" w:space="0" w:color="000000"/>
              <w:right w:val="single" w:sz="4" w:space="0" w:color="000000"/>
            </w:tcBorders>
            <w:tcMar>
              <w:top w:w="100" w:type="dxa"/>
              <w:left w:w="100" w:type="dxa"/>
              <w:bottom w:w="100" w:type="dxa"/>
              <w:right w:w="100" w:type="dxa"/>
            </w:tcMar>
          </w:tcPr>
          <w:p w14:paraId="0CC8A7F4" w14:textId="77777777" w:rsidR="00501FB8" w:rsidRDefault="00501FB8">
            <w:pPr>
              <w:widowControl w:val="0"/>
              <w:spacing w:line="276" w:lineRule="auto"/>
              <w:rPr>
                <w:rFonts w:eastAsia="Arial" w:cs="Arial"/>
                <w:b/>
                <w:szCs w:val="22"/>
              </w:rPr>
            </w:pPr>
          </w:p>
        </w:tc>
        <w:tc>
          <w:tcPr>
            <w:tcW w:w="705" w:type="dxa"/>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8E004B3" w14:textId="77777777" w:rsidR="00501FB8" w:rsidRDefault="00F63BB8">
            <w:pPr>
              <w:spacing w:line="276" w:lineRule="auto"/>
              <w:jc w:val="center"/>
              <w:rPr>
                <w:rFonts w:eastAsia="Arial" w:cs="Arial"/>
                <w:b/>
                <w:sz w:val="20"/>
                <w:szCs w:val="20"/>
              </w:rPr>
            </w:pPr>
            <w:r>
              <w:rPr>
                <w:rFonts w:eastAsia="Arial" w:cs="Arial"/>
                <w:b/>
                <w:sz w:val="20"/>
                <w:szCs w:val="20"/>
              </w:rPr>
              <w:t>2021</w:t>
            </w:r>
          </w:p>
        </w:tc>
        <w:tc>
          <w:tcPr>
            <w:tcW w:w="705" w:type="dxa"/>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520FE54" w14:textId="77777777" w:rsidR="00501FB8" w:rsidRDefault="00F63BB8">
            <w:pPr>
              <w:spacing w:line="276" w:lineRule="auto"/>
              <w:jc w:val="center"/>
              <w:rPr>
                <w:rFonts w:eastAsia="Arial" w:cs="Arial"/>
                <w:b/>
                <w:sz w:val="20"/>
                <w:szCs w:val="20"/>
              </w:rPr>
            </w:pPr>
            <w:r>
              <w:rPr>
                <w:rFonts w:eastAsia="Arial" w:cs="Arial"/>
                <w:b/>
                <w:sz w:val="20"/>
                <w:szCs w:val="20"/>
              </w:rPr>
              <w:t>2022</w:t>
            </w:r>
          </w:p>
        </w:tc>
        <w:tc>
          <w:tcPr>
            <w:tcW w:w="705" w:type="dxa"/>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DC991F1" w14:textId="77777777" w:rsidR="00501FB8" w:rsidRDefault="00F63BB8">
            <w:pPr>
              <w:spacing w:line="276" w:lineRule="auto"/>
              <w:jc w:val="center"/>
              <w:rPr>
                <w:rFonts w:eastAsia="Arial" w:cs="Arial"/>
                <w:b/>
                <w:sz w:val="20"/>
                <w:szCs w:val="20"/>
              </w:rPr>
            </w:pPr>
            <w:r>
              <w:rPr>
                <w:rFonts w:eastAsia="Arial" w:cs="Arial"/>
                <w:b/>
                <w:sz w:val="20"/>
                <w:szCs w:val="20"/>
              </w:rPr>
              <w:t>2023</w:t>
            </w:r>
          </w:p>
        </w:tc>
        <w:tc>
          <w:tcPr>
            <w:tcW w:w="705" w:type="dxa"/>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8F09196" w14:textId="77777777" w:rsidR="00501FB8" w:rsidRDefault="00F63BB8">
            <w:pPr>
              <w:spacing w:line="276" w:lineRule="auto"/>
              <w:jc w:val="center"/>
              <w:rPr>
                <w:rFonts w:eastAsia="Arial" w:cs="Arial"/>
                <w:b/>
                <w:sz w:val="20"/>
                <w:szCs w:val="20"/>
              </w:rPr>
            </w:pPr>
            <w:r>
              <w:rPr>
                <w:rFonts w:eastAsia="Arial" w:cs="Arial"/>
                <w:b/>
                <w:sz w:val="20"/>
                <w:szCs w:val="20"/>
              </w:rPr>
              <w:t>2024</w:t>
            </w:r>
          </w:p>
        </w:tc>
        <w:tc>
          <w:tcPr>
            <w:tcW w:w="705" w:type="dxa"/>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00DE276" w14:textId="77777777" w:rsidR="00501FB8" w:rsidRDefault="00F63BB8">
            <w:pPr>
              <w:spacing w:line="276" w:lineRule="auto"/>
              <w:jc w:val="center"/>
              <w:rPr>
                <w:rFonts w:eastAsia="Arial" w:cs="Arial"/>
                <w:b/>
                <w:sz w:val="20"/>
                <w:szCs w:val="20"/>
              </w:rPr>
            </w:pPr>
            <w:r>
              <w:rPr>
                <w:rFonts w:eastAsia="Arial" w:cs="Arial"/>
                <w:b/>
                <w:sz w:val="20"/>
                <w:szCs w:val="20"/>
              </w:rPr>
              <w:t>2025</w:t>
            </w:r>
          </w:p>
        </w:tc>
        <w:tc>
          <w:tcPr>
            <w:tcW w:w="2070" w:type="dxa"/>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FB5A0D6" w14:textId="77777777" w:rsidR="00501FB8" w:rsidRDefault="00F63BB8">
            <w:pPr>
              <w:spacing w:line="276" w:lineRule="auto"/>
              <w:jc w:val="center"/>
              <w:rPr>
                <w:rFonts w:eastAsia="Arial" w:cs="Arial"/>
                <w:b/>
                <w:sz w:val="20"/>
                <w:szCs w:val="20"/>
              </w:rPr>
            </w:pPr>
            <w:r>
              <w:rPr>
                <w:rFonts w:eastAsia="Arial" w:cs="Arial"/>
                <w:b/>
                <w:sz w:val="20"/>
                <w:szCs w:val="20"/>
              </w:rPr>
              <w:t>A partir de 2026</w:t>
            </w:r>
          </w:p>
        </w:tc>
      </w:tr>
      <w:tr w:rsidR="00501FB8" w14:paraId="6D1DE513" w14:textId="77777777">
        <w:trPr>
          <w:trHeight w:val="2055"/>
        </w:trPr>
        <w:tc>
          <w:tcPr>
            <w:tcW w:w="1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BB96B8" w14:textId="77777777" w:rsidR="00501FB8" w:rsidRDefault="00F63BB8">
            <w:pPr>
              <w:spacing w:line="276" w:lineRule="auto"/>
              <w:jc w:val="center"/>
              <w:rPr>
                <w:rFonts w:eastAsia="Arial" w:cs="Arial"/>
                <w:sz w:val="20"/>
                <w:szCs w:val="20"/>
              </w:rPr>
            </w:pPr>
            <w:r>
              <w:rPr>
                <w:rFonts w:eastAsia="Arial" w:cs="Arial"/>
                <w:sz w:val="20"/>
                <w:szCs w:val="20"/>
              </w:rPr>
              <w:t>B. - Installations autorisées réalisant une valorisation énergétique de plus de 75% du biogaz capté</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14:paraId="2091FC12"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1B7FEF52" w14:textId="77777777" w:rsidR="00501FB8" w:rsidRDefault="00F63BB8">
            <w:pPr>
              <w:spacing w:line="276" w:lineRule="auto"/>
              <w:jc w:val="center"/>
              <w:rPr>
                <w:rFonts w:eastAsia="Arial" w:cs="Arial"/>
                <w:sz w:val="20"/>
                <w:szCs w:val="20"/>
              </w:rPr>
            </w:pPr>
            <w:r>
              <w:rPr>
                <w:rFonts w:eastAsia="Arial" w:cs="Arial"/>
                <w:sz w:val="20"/>
                <w:szCs w:val="20"/>
              </w:rPr>
              <w:t>25</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160CD9C9" w14:textId="77777777" w:rsidR="00501FB8" w:rsidRDefault="00F63BB8">
            <w:pPr>
              <w:spacing w:line="276" w:lineRule="auto"/>
              <w:jc w:val="center"/>
              <w:rPr>
                <w:rFonts w:eastAsia="Arial" w:cs="Arial"/>
                <w:sz w:val="20"/>
                <w:szCs w:val="20"/>
              </w:rPr>
            </w:pPr>
            <w:r>
              <w:rPr>
                <w:rFonts w:eastAsia="Arial" w:cs="Arial"/>
                <w:sz w:val="20"/>
                <w:szCs w:val="20"/>
              </w:rPr>
              <w:t>37</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060BA1F4" w14:textId="77777777" w:rsidR="00501FB8" w:rsidRDefault="00F63BB8">
            <w:pPr>
              <w:spacing w:line="276" w:lineRule="auto"/>
              <w:jc w:val="center"/>
              <w:rPr>
                <w:rFonts w:eastAsia="Arial" w:cs="Arial"/>
                <w:sz w:val="20"/>
                <w:szCs w:val="20"/>
              </w:rPr>
            </w:pPr>
            <w:r>
              <w:rPr>
                <w:rFonts w:eastAsia="Arial" w:cs="Arial"/>
                <w:sz w:val="20"/>
                <w:szCs w:val="20"/>
              </w:rPr>
              <w:t>45</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0750CE62" w14:textId="77777777" w:rsidR="00501FB8" w:rsidRDefault="00F63BB8">
            <w:pPr>
              <w:spacing w:line="276" w:lineRule="auto"/>
              <w:jc w:val="center"/>
              <w:rPr>
                <w:rFonts w:eastAsia="Arial" w:cs="Arial"/>
                <w:sz w:val="20"/>
                <w:szCs w:val="20"/>
              </w:rPr>
            </w:pPr>
            <w:r>
              <w:rPr>
                <w:rFonts w:eastAsia="Arial" w:cs="Arial"/>
                <w:sz w:val="20"/>
                <w:szCs w:val="20"/>
              </w:rPr>
              <w:t>52</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420A36AE" w14:textId="77777777" w:rsidR="00501FB8" w:rsidRDefault="00F63BB8">
            <w:pPr>
              <w:spacing w:line="276" w:lineRule="auto"/>
              <w:jc w:val="center"/>
              <w:rPr>
                <w:rFonts w:eastAsia="Arial" w:cs="Arial"/>
                <w:sz w:val="20"/>
                <w:szCs w:val="20"/>
              </w:rPr>
            </w:pPr>
            <w:r>
              <w:rPr>
                <w:rFonts w:eastAsia="Arial" w:cs="Arial"/>
                <w:sz w:val="20"/>
                <w:szCs w:val="20"/>
              </w:rPr>
              <w:t>59</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1CE08A14" w14:textId="77777777" w:rsidR="00501FB8" w:rsidRDefault="00F63BB8">
            <w:pPr>
              <w:spacing w:line="276" w:lineRule="auto"/>
              <w:jc w:val="center"/>
              <w:rPr>
                <w:rFonts w:eastAsia="Arial" w:cs="Arial"/>
                <w:sz w:val="20"/>
                <w:szCs w:val="20"/>
              </w:rPr>
            </w:pPr>
            <w:r>
              <w:rPr>
                <w:rFonts w:eastAsia="Arial" w:cs="Arial"/>
                <w:sz w:val="20"/>
                <w:szCs w:val="20"/>
              </w:rPr>
              <w:t>65</w:t>
            </w:r>
          </w:p>
        </w:tc>
      </w:tr>
      <w:tr w:rsidR="00501FB8" w14:paraId="35D62517" w14:textId="77777777">
        <w:trPr>
          <w:trHeight w:val="2490"/>
        </w:trPr>
        <w:tc>
          <w:tcPr>
            <w:tcW w:w="1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9F281" w14:textId="77777777" w:rsidR="00501FB8" w:rsidRDefault="00F63BB8">
            <w:pPr>
              <w:spacing w:line="276" w:lineRule="auto"/>
              <w:jc w:val="center"/>
              <w:rPr>
                <w:rFonts w:eastAsia="Arial" w:cs="Arial"/>
                <w:sz w:val="20"/>
                <w:szCs w:val="20"/>
              </w:rPr>
            </w:pPr>
            <w:r>
              <w:rPr>
                <w:rFonts w:eastAsia="Arial" w:cs="Arial"/>
                <w:sz w:val="20"/>
                <w:szCs w:val="20"/>
              </w:rPr>
              <w:t>C. - Installations autorisées qui sont exploitées selon la méthode du bioréacteur et réalisent une valorisation énergétique du biogaz capté</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14:paraId="60090837"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558D1F83" w14:textId="77777777" w:rsidR="00501FB8" w:rsidRDefault="00F63BB8">
            <w:pPr>
              <w:spacing w:line="276" w:lineRule="auto"/>
              <w:rPr>
                <w:rFonts w:eastAsia="Arial" w:cs="Arial"/>
                <w:sz w:val="20"/>
                <w:szCs w:val="20"/>
              </w:rPr>
            </w:pPr>
            <w:r>
              <w:rPr>
                <w:rFonts w:eastAsia="Arial" w:cs="Arial"/>
                <w:sz w:val="20"/>
                <w:szCs w:val="20"/>
              </w:rPr>
              <w:t>35</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21FED642" w14:textId="77777777" w:rsidR="00501FB8" w:rsidRDefault="00F63BB8">
            <w:pPr>
              <w:spacing w:line="276" w:lineRule="auto"/>
              <w:jc w:val="center"/>
              <w:rPr>
                <w:rFonts w:eastAsia="Arial" w:cs="Arial"/>
                <w:sz w:val="20"/>
                <w:szCs w:val="20"/>
              </w:rPr>
            </w:pPr>
            <w:r>
              <w:rPr>
                <w:rFonts w:eastAsia="Arial" w:cs="Arial"/>
                <w:sz w:val="20"/>
                <w:szCs w:val="20"/>
              </w:rPr>
              <w:t>47</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486E6A82" w14:textId="77777777" w:rsidR="00501FB8" w:rsidRDefault="00F63BB8">
            <w:pPr>
              <w:spacing w:line="276" w:lineRule="auto"/>
              <w:jc w:val="center"/>
              <w:rPr>
                <w:rFonts w:eastAsia="Arial" w:cs="Arial"/>
                <w:sz w:val="20"/>
                <w:szCs w:val="20"/>
              </w:rPr>
            </w:pPr>
            <w:r>
              <w:rPr>
                <w:rFonts w:eastAsia="Arial" w:cs="Arial"/>
                <w:sz w:val="20"/>
                <w:szCs w:val="20"/>
              </w:rPr>
              <w:t>53</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4EF8D079" w14:textId="77777777" w:rsidR="00501FB8" w:rsidRDefault="00F63BB8">
            <w:pPr>
              <w:spacing w:line="276" w:lineRule="auto"/>
              <w:jc w:val="center"/>
              <w:rPr>
                <w:rFonts w:eastAsia="Arial" w:cs="Arial"/>
                <w:sz w:val="20"/>
                <w:szCs w:val="20"/>
              </w:rPr>
            </w:pPr>
            <w:r>
              <w:rPr>
                <w:rFonts w:eastAsia="Arial" w:cs="Arial"/>
                <w:sz w:val="20"/>
                <w:szCs w:val="20"/>
              </w:rPr>
              <w:t>58</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3A62843B" w14:textId="77777777" w:rsidR="00501FB8" w:rsidRDefault="00F63BB8">
            <w:pPr>
              <w:spacing w:line="276" w:lineRule="auto"/>
              <w:jc w:val="center"/>
              <w:rPr>
                <w:rFonts w:eastAsia="Arial" w:cs="Arial"/>
                <w:sz w:val="20"/>
                <w:szCs w:val="20"/>
              </w:rPr>
            </w:pPr>
            <w:r>
              <w:rPr>
                <w:rFonts w:eastAsia="Arial" w:cs="Arial"/>
                <w:sz w:val="20"/>
                <w:szCs w:val="20"/>
              </w:rPr>
              <w:t>61</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70778FD7" w14:textId="77777777" w:rsidR="00501FB8" w:rsidRDefault="00F63BB8">
            <w:pPr>
              <w:spacing w:line="276" w:lineRule="auto"/>
              <w:jc w:val="center"/>
              <w:rPr>
                <w:rFonts w:eastAsia="Arial" w:cs="Arial"/>
                <w:sz w:val="20"/>
                <w:szCs w:val="20"/>
              </w:rPr>
            </w:pPr>
            <w:r>
              <w:rPr>
                <w:rFonts w:eastAsia="Arial" w:cs="Arial"/>
                <w:sz w:val="20"/>
                <w:szCs w:val="20"/>
              </w:rPr>
              <w:t>65</w:t>
            </w:r>
          </w:p>
        </w:tc>
      </w:tr>
      <w:tr w:rsidR="00501FB8" w14:paraId="65F39719" w14:textId="77777777">
        <w:trPr>
          <w:trHeight w:val="1260"/>
        </w:trPr>
        <w:tc>
          <w:tcPr>
            <w:tcW w:w="1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9B21A" w14:textId="77777777" w:rsidR="00501FB8" w:rsidRDefault="00F63BB8">
            <w:pPr>
              <w:spacing w:line="276" w:lineRule="auto"/>
              <w:jc w:val="center"/>
              <w:rPr>
                <w:rFonts w:eastAsia="Arial" w:cs="Arial"/>
                <w:sz w:val="20"/>
                <w:szCs w:val="20"/>
              </w:rPr>
            </w:pPr>
            <w:r>
              <w:rPr>
                <w:rFonts w:eastAsia="Arial" w:cs="Arial"/>
                <w:sz w:val="20"/>
                <w:szCs w:val="20"/>
              </w:rPr>
              <w:t>D. - Installations autorisées relevant à la fois des B et C</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14:paraId="53128BFA"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0990CB78" w14:textId="77777777" w:rsidR="00501FB8" w:rsidRDefault="00F63BB8">
            <w:pPr>
              <w:spacing w:line="276" w:lineRule="auto"/>
              <w:jc w:val="center"/>
              <w:rPr>
                <w:rFonts w:eastAsia="Arial" w:cs="Arial"/>
                <w:sz w:val="20"/>
                <w:szCs w:val="20"/>
              </w:rPr>
            </w:pPr>
            <w:r>
              <w:rPr>
                <w:rFonts w:eastAsia="Arial" w:cs="Arial"/>
                <w:sz w:val="20"/>
                <w:szCs w:val="20"/>
              </w:rPr>
              <w:t>18</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12DA5F50" w14:textId="77777777" w:rsidR="00501FB8" w:rsidRDefault="00F63BB8">
            <w:pPr>
              <w:spacing w:line="276" w:lineRule="auto"/>
              <w:jc w:val="center"/>
              <w:rPr>
                <w:rFonts w:eastAsia="Arial" w:cs="Arial"/>
                <w:sz w:val="20"/>
                <w:szCs w:val="20"/>
              </w:rPr>
            </w:pPr>
            <w:r>
              <w:rPr>
                <w:rFonts w:eastAsia="Arial" w:cs="Arial"/>
                <w:sz w:val="20"/>
                <w:szCs w:val="20"/>
              </w:rPr>
              <w:t>30</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5E8733B0" w14:textId="77777777" w:rsidR="00501FB8" w:rsidRDefault="00F63BB8">
            <w:pPr>
              <w:spacing w:line="276" w:lineRule="auto"/>
              <w:jc w:val="center"/>
              <w:rPr>
                <w:rFonts w:eastAsia="Arial" w:cs="Arial"/>
                <w:sz w:val="20"/>
                <w:szCs w:val="20"/>
              </w:rPr>
            </w:pPr>
            <w:r>
              <w:rPr>
                <w:rFonts w:eastAsia="Arial" w:cs="Arial"/>
                <w:sz w:val="20"/>
                <w:szCs w:val="20"/>
              </w:rPr>
              <w:t>40</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03D6C68D" w14:textId="77777777" w:rsidR="00501FB8" w:rsidRDefault="00F63BB8">
            <w:pPr>
              <w:spacing w:line="276" w:lineRule="auto"/>
              <w:jc w:val="center"/>
              <w:rPr>
                <w:rFonts w:eastAsia="Arial" w:cs="Arial"/>
                <w:sz w:val="20"/>
                <w:szCs w:val="20"/>
              </w:rPr>
            </w:pPr>
            <w:r>
              <w:rPr>
                <w:rFonts w:eastAsia="Arial" w:cs="Arial"/>
                <w:sz w:val="20"/>
                <w:szCs w:val="20"/>
              </w:rPr>
              <w:t>51</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618BBA01" w14:textId="77777777" w:rsidR="00501FB8" w:rsidRDefault="00F63BB8">
            <w:pPr>
              <w:spacing w:line="276" w:lineRule="auto"/>
              <w:jc w:val="center"/>
              <w:rPr>
                <w:rFonts w:eastAsia="Arial" w:cs="Arial"/>
                <w:sz w:val="20"/>
                <w:szCs w:val="20"/>
              </w:rPr>
            </w:pPr>
            <w:r>
              <w:rPr>
                <w:rFonts w:eastAsia="Arial" w:cs="Arial"/>
                <w:sz w:val="20"/>
                <w:szCs w:val="20"/>
              </w:rPr>
              <w:t>58</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486BADB3" w14:textId="77777777" w:rsidR="00501FB8" w:rsidRDefault="00F63BB8">
            <w:pPr>
              <w:spacing w:line="276" w:lineRule="auto"/>
              <w:jc w:val="center"/>
              <w:rPr>
                <w:rFonts w:eastAsia="Arial" w:cs="Arial"/>
                <w:sz w:val="20"/>
                <w:szCs w:val="20"/>
              </w:rPr>
            </w:pPr>
            <w:r>
              <w:rPr>
                <w:rFonts w:eastAsia="Arial" w:cs="Arial"/>
                <w:sz w:val="20"/>
                <w:szCs w:val="20"/>
              </w:rPr>
              <w:t>65</w:t>
            </w:r>
          </w:p>
        </w:tc>
      </w:tr>
      <w:tr w:rsidR="00501FB8" w14:paraId="5919271F" w14:textId="77777777">
        <w:trPr>
          <w:trHeight w:val="735"/>
        </w:trPr>
        <w:tc>
          <w:tcPr>
            <w:tcW w:w="1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F88993" w14:textId="77777777" w:rsidR="00501FB8" w:rsidRDefault="00F63BB8">
            <w:pPr>
              <w:spacing w:line="276" w:lineRule="auto"/>
              <w:jc w:val="center"/>
              <w:rPr>
                <w:rFonts w:eastAsia="Arial" w:cs="Arial"/>
                <w:sz w:val="20"/>
                <w:szCs w:val="20"/>
              </w:rPr>
            </w:pPr>
            <w:r>
              <w:rPr>
                <w:rFonts w:eastAsia="Arial" w:cs="Arial"/>
                <w:sz w:val="20"/>
                <w:szCs w:val="20"/>
              </w:rPr>
              <w:t>E - Autres installations autorisées</w:t>
            </w:r>
          </w:p>
        </w:tc>
        <w:tc>
          <w:tcPr>
            <w:tcW w:w="1245" w:type="dxa"/>
            <w:tcBorders>
              <w:bottom w:val="single" w:sz="8" w:space="0" w:color="000000"/>
              <w:right w:val="single" w:sz="8" w:space="0" w:color="000000"/>
            </w:tcBorders>
            <w:shd w:val="clear" w:color="auto" w:fill="auto"/>
            <w:tcMar>
              <w:top w:w="100" w:type="dxa"/>
              <w:left w:w="100" w:type="dxa"/>
              <w:bottom w:w="100" w:type="dxa"/>
              <w:right w:w="100" w:type="dxa"/>
            </w:tcMar>
          </w:tcPr>
          <w:p w14:paraId="75C2B107"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490E5792" w14:textId="77777777" w:rsidR="00501FB8" w:rsidRDefault="00F63BB8">
            <w:pPr>
              <w:spacing w:line="276" w:lineRule="auto"/>
              <w:jc w:val="center"/>
              <w:rPr>
                <w:rFonts w:eastAsia="Arial" w:cs="Arial"/>
                <w:sz w:val="20"/>
                <w:szCs w:val="20"/>
              </w:rPr>
            </w:pPr>
            <w:r>
              <w:rPr>
                <w:rFonts w:eastAsia="Arial" w:cs="Arial"/>
                <w:sz w:val="20"/>
                <w:szCs w:val="20"/>
              </w:rPr>
              <w:t>42</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464269F5" w14:textId="77777777" w:rsidR="00501FB8" w:rsidRDefault="00F63BB8">
            <w:pPr>
              <w:spacing w:line="276" w:lineRule="auto"/>
              <w:jc w:val="center"/>
              <w:rPr>
                <w:rFonts w:eastAsia="Arial" w:cs="Arial"/>
                <w:sz w:val="20"/>
                <w:szCs w:val="20"/>
              </w:rPr>
            </w:pPr>
            <w:r>
              <w:rPr>
                <w:rFonts w:eastAsia="Arial" w:cs="Arial"/>
                <w:sz w:val="20"/>
                <w:szCs w:val="20"/>
              </w:rPr>
              <w:t>54</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7CE7C7BF" w14:textId="77777777" w:rsidR="00501FB8" w:rsidRDefault="00F63BB8">
            <w:pPr>
              <w:spacing w:line="276" w:lineRule="auto"/>
              <w:jc w:val="center"/>
              <w:rPr>
                <w:rFonts w:eastAsia="Arial" w:cs="Arial"/>
                <w:sz w:val="20"/>
                <w:szCs w:val="20"/>
              </w:rPr>
            </w:pPr>
            <w:r>
              <w:rPr>
                <w:rFonts w:eastAsia="Arial" w:cs="Arial"/>
                <w:sz w:val="20"/>
                <w:szCs w:val="20"/>
              </w:rPr>
              <w:t>58</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62E6F23B" w14:textId="77777777" w:rsidR="00501FB8" w:rsidRDefault="00F63BB8">
            <w:pPr>
              <w:spacing w:line="276" w:lineRule="auto"/>
              <w:jc w:val="center"/>
              <w:rPr>
                <w:rFonts w:eastAsia="Arial" w:cs="Arial"/>
                <w:sz w:val="20"/>
                <w:szCs w:val="20"/>
              </w:rPr>
            </w:pPr>
            <w:r>
              <w:rPr>
                <w:rFonts w:eastAsia="Arial" w:cs="Arial"/>
                <w:sz w:val="20"/>
                <w:szCs w:val="20"/>
              </w:rPr>
              <w:t>61</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50E7A769" w14:textId="77777777" w:rsidR="00501FB8" w:rsidRDefault="00F63BB8">
            <w:pPr>
              <w:spacing w:line="276" w:lineRule="auto"/>
              <w:jc w:val="center"/>
              <w:rPr>
                <w:rFonts w:eastAsia="Arial" w:cs="Arial"/>
                <w:sz w:val="20"/>
                <w:szCs w:val="20"/>
              </w:rPr>
            </w:pPr>
            <w:r>
              <w:rPr>
                <w:rFonts w:eastAsia="Arial" w:cs="Arial"/>
                <w:sz w:val="20"/>
                <w:szCs w:val="20"/>
              </w:rPr>
              <w:t>63</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620E4926" w14:textId="77777777" w:rsidR="00501FB8" w:rsidRDefault="00F63BB8">
            <w:pPr>
              <w:spacing w:line="276" w:lineRule="auto"/>
              <w:jc w:val="center"/>
              <w:rPr>
                <w:rFonts w:eastAsia="Arial" w:cs="Arial"/>
                <w:sz w:val="20"/>
                <w:szCs w:val="20"/>
              </w:rPr>
            </w:pPr>
            <w:r>
              <w:rPr>
                <w:rFonts w:eastAsia="Arial" w:cs="Arial"/>
                <w:sz w:val="20"/>
                <w:szCs w:val="20"/>
              </w:rPr>
              <w:t>65</w:t>
            </w:r>
          </w:p>
        </w:tc>
      </w:tr>
    </w:tbl>
    <w:p w14:paraId="34FEB4D1" w14:textId="77777777" w:rsidR="00501FB8" w:rsidRDefault="00F63BB8">
      <w:pPr>
        <w:spacing w:after="240" w:line="276" w:lineRule="auto"/>
        <w:jc w:val="center"/>
        <w:rPr>
          <w:rFonts w:eastAsia="Arial" w:cs="Arial"/>
          <w:szCs w:val="22"/>
        </w:rPr>
      </w:pPr>
      <w:r>
        <w:rPr>
          <w:rFonts w:eastAsia="Arial" w:cs="Arial"/>
          <w:szCs w:val="22"/>
        </w:rPr>
        <w:t xml:space="preserve"> </w:t>
      </w:r>
    </w:p>
    <w:p w14:paraId="2A6B86A0" w14:textId="77777777" w:rsidR="00501FB8" w:rsidRDefault="00F63BB8">
      <w:pPr>
        <w:spacing w:line="276" w:lineRule="auto"/>
        <w:jc w:val="both"/>
        <w:rPr>
          <w:rFonts w:eastAsia="Arial" w:cs="Arial"/>
          <w:szCs w:val="22"/>
        </w:rPr>
      </w:pPr>
      <w:r>
        <w:rPr>
          <w:rFonts w:eastAsia="Arial" w:cs="Arial"/>
          <w:szCs w:val="22"/>
        </w:rPr>
        <w:t xml:space="preserve">II. Au A du 1 l’article 266 </w:t>
      </w:r>
      <w:proofErr w:type="spellStart"/>
      <w:r>
        <w:rPr>
          <w:rFonts w:eastAsia="Arial" w:cs="Arial"/>
          <w:szCs w:val="22"/>
        </w:rPr>
        <w:t>nonies</w:t>
      </w:r>
      <w:proofErr w:type="spellEnd"/>
      <w:r>
        <w:rPr>
          <w:rFonts w:eastAsia="Arial" w:cs="Arial"/>
          <w:szCs w:val="22"/>
        </w:rPr>
        <w:t xml:space="preserve"> du code des douanes, remplacer le tableau du b) par le tableau suivant :</w:t>
      </w:r>
    </w:p>
    <w:p w14:paraId="7A1873A6" w14:textId="77777777" w:rsidR="00501FB8" w:rsidRDefault="00F63BB8">
      <w:pPr>
        <w:spacing w:after="240" w:line="276" w:lineRule="auto"/>
        <w:jc w:val="center"/>
        <w:rPr>
          <w:rFonts w:eastAsia="Arial" w:cs="Arial"/>
          <w:szCs w:val="22"/>
        </w:rPr>
      </w:pPr>
      <w:r>
        <w:rPr>
          <w:rFonts w:eastAsia="Arial" w:cs="Arial"/>
          <w:szCs w:val="22"/>
        </w:rPr>
        <w:t xml:space="preserve"> </w:t>
      </w:r>
    </w:p>
    <w:tbl>
      <w:tblPr>
        <w:tblStyle w:val="a0"/>
        <w:tblW w:w="87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80"/>
        <w:gridCol w:w="1170"/>
        <w:gridCol w:w="675"/>
        <w:gridCol w:w="705"/>
        <w:gridCol w:w="840"/>
        <w:gridCol w:w="840"/>
        <w:gridCol w:w="975"/>
        <w:gridCol w:w="1830"/>
      </w:tblGrid>
      <w:tr w:rsidR="00501FB8" w14:paraId="0D48E33D" w14:textId="77777777">
        <w:trPr>
          <w:trHeight w:val="1280"/>
        </w:trPr>
        <w:tc>
          <w:tcPr>
            <w:tcW w:w="168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19AB1B" w14:textId="77777777" w:rsidR="00501FB8" w:rsidRDefault="00F63BB8">
            <w:pPr>
              <w:spacing w:line="276" w:lineRule="auto"/>
              <w:jc w:val="center"/>
              <w:rPr>
                <w:rFonts w:eastAsia="Arial" w:cs="Arial"/>
                <w:sz w:val="20"/>
                <w:szCs w:val="20"/>
              </w:rPr>
            </w:pPr>
            <w:r>
              <w:rPr>
                <w:rFonts w:eastAsia="Arial" w:cs="Arial"/>
                <w:sz w:val="20"/>
                <w:szCs w:val="20"/>
              </w:rPr>
              <w:lastRenderedPageBreak/>
              <w:t xml:space="preserve">Désignation des installations de traitement thermique de déchets non dangereux concernés  </w:t>
            </w:r>
          </w:p>
        </w:tc>
        <w:tc>
          <w:tcPr>
            <w:tcW w:w="1170" w:type="dxa"/>
            <w:vMerge w:val="restart"/>
            <w:tcBorders>
              <w:top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14:paraId="4EC5F1C4" w14:textId="77777777" w:rsidR="00501FB8" w:rsidRDefault="00F63BB8">
            <w:pPr>
              <w:spacing w:line="276" w:lineRule="auto"/>
              <w:jc w:val="center"/>
              <w:rPr>
                <w:rFonts w:eastAsia="Arial" w:cs="Arial"/>
                <w:sz w:val="20"/>
                <w:szCs w:val="20"/>
              </w:rPr>
            </w:pPr>
            <w:r>
              <w:rPr>
                <w:rFonts w:eastAsia="Arial" w:cs="Arial"/>
                <w:sz w:val="20"/>
                <w:szCs w:val="20"/>
              </w:rPr>
              <w:t>Unité de perception</w:t>
            </w:r>
          </w:p>
        </w:tc>
        <w:tc>
          <w:tcPr>
            <w:tcW w:w="4035" w:type="dxa"/>
            <w:gridSpan w:val="5"/>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20" w:type="dxa"/>
              <w:right w:w="20" w:type="dxa"/>
            </w:tcMar>
          </w:tcPr>
          <w:p w14:paraId="1AD8C692" w14:textId="77777777" w:rsidR="00501FB8" w:rsidRDefault="00F63BB8">
            <w:pPr>
              <w:spacing w:line="276" w:lineRule="auto"/>
              <w:jc w:val="center"/>
              <w:rPr>
                <w:rFonts w:eastAsia="Arial" w:cs="Arial"/>
                <w:b/>
                <w:sz w:val="20"/>
                <w:szCs w:val="20"/>
              </w:rPr>
            </w:pPr>
            <w:r>
              <w:rPr>
                <w:rFonts w:eastAsia="Arial" w:cs="Arial"/>
                <w:b/>
                <w:sz w:val="20"/>
                <w:szCs w:val="20"/>
              </w:rPr>
              <w:t>Quotité en euros</w:t>
            </w:r>
          </w:p>
          <w:p w14:paraId="094684C4" w14:textId="77777777" w:rsidR="00501FB8" w:rsidRDefault="00F63BB8">
            <w:pPr>
              <w:spacing w:line="276" w:lineRule="auto"/>
              <w:jc w:val="center"/>
              <w:rPr>
                <w:rFonts w:eastAsia="Arial" w:cs="Arial"/>
                <w:b/>
                <w:sz w:val="20"/>
                <w:szCs w:val="20"/>
              </w:rPr>
            </w:pPr>
            <w:r>
              <w:rPr>
                <w:rFonts w:eastAsia="Arial" w:cs="Arial"/>
                <w:b/>
                <w:sz w:val="20"/>
                <w:szCs w:val="20"/>
              </w:rPr>
              <w:t xml:space="preserve"> </w:t>
            </w:r>
          </w:p>
        </w:tc>
        <w:tc>
          <w:tcPr>
            <w:tcW w:w="183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600FBE" w14:textId="77777777" w:rsidR="00501FB8" w:rsidRDefault="00501FB8">
            <w:pPr>
              <w:jc w:val="center"/>
              <w:rPr>
                <w:rFonts w:eastAsia="Arial" w:cs="Arial"/>
                <w:sz w:val="20"/>
                <w:szCs w:val="20"/>
              </w:rPr>
            </w:pPr>
          </w:p>
        </w:tc>
      </w:tr>
      <w:tr w:rsidR="00501FB8" w14:paraId="7C4F29BE" w14:textId="77777777">
        <w:trPr>
          <w:trHeight w:val="1035"/>
        </w:trPr>
        <w:tc>
          <w:tcPr>
            <w:tcW w:w="168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424E56" w14:textId="77777777" w:rsidR="00501FB8" w:rsidRDefault="00501FB8">
            <w:pPr>
              <w:widowControl w:val="0"/>
              <w:spacing w:line="276" w:lineRule="auto"/>
              <w:rPr>
                <w:rFonts w:eastAsia="Arial" w:cs="Arial"/>
                <w:szCs w:val="22"/>
              </w:rPr>
            </w:pPr>
          </w:p>
        </w:tc>
        <w:tc>
          <w:tcPr>
            <w:tcW w:w="1170" w:type="dxa"/>
            <w:vMerge/>
            <w:tcBorders>
              <w:top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14:paraId="4AC41567" w14:textId="77777777" w:rsidR="00501FB8" w:rsidRDefault="00501FB8">
            <w:pPr>
              <w:widowControl w:val="0"/>
              <w:spacing w:line="276" w:lineRule="auto"/>
              <w:rPr>
                <w:rFonts w:eastAsia="Arial" w:cs="Arial"/>
                <w:szCs w:val="22"/>
              </w:rPr>
            </w:pPr>
          </w:p>
        </w:tc>
        <w:tc>
          <w:tcPr>
            <w:tcW w:w="675" w:type="dxa"/>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F75FA4A" w14:textId="77777777" w:rsidR="00501FB8" w:rsidRDefault="00F63BB8">
            <w:pPr>
              <w:spacing w:line="276" w:lineRule="auto"/>
              <w:jc w:val="center"/>
              <w:rPr>
                <w:rFonts w:eastAsia="Arial" w:cs="Arial"/>
                <w:b/>
                <w:sz w:val="20"/>
                <w:szCs w:val="20"/>
              </w:rPr>
            </w:pPr>
            <w:r>
              <w:rPr>
                <w:rFonts w:eastAsia="Arial" w:cs="Arial"/>
                <w:b/>
                <w:sz w:val="20"/>
                <w:szCs w:val="20"/>
              </w:rPr>
              <w:t>2021</w:t>
            </w:r>
          </w:p>
        </w:tc>
        <w:tc>
          <w:tcPr>
            <w:tcW w:w="705" w:type="dxa"/>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C0FDBF9" w14:textId="77777777" w:rsidR="00501FB8" w:rsidRDefault="00F63BB8">
            <w:pPr>
              <w:spacing w:line="276" w:lineRule="auto"/>
              <w:jc w:val="center"/>
              <w:rPr>
                <w:rFonts w:eastAsia="Arial" w:cs="Arial"/>
                <w:b/>
                <w:sz w:val="20"/>
                <w:szCs w:val="20"/>
              </w:rPr>
            </w:pPr>
            <w:r>
              <w:rPr>
                <w:rFonts w:eastAsia="Arial" w:cs="Arial"/>
                <w:b/>
                <w:sz w:val="20"/>
                <w:szCs w:val="20"/>
              </w:rPr>
              <w:t>2022</w:t>
            </w:r>
          </w:p>
        </w:tc>
        <w:tc>
          <w:tcPr>
            <w:tcW w:w="840" w:type="dxa"/>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776B94D" w14:textId="77777777" w:rsidR="00501FB8" w:rsidRDefault="00F63BB8">
            <w:pPr>
              <w:spacing w:line="276" w:lineRule="auto"/>
              <w:jc w:val="center"/>
              <w:rPr>
                <w:rFonts w:eastAsia="Arial" w:cs="Arial"/>
                <w:b/>
                <w:sz w:val="20"/>
                <w:szCs w:val="20"/>
              </w:rPr>
            </w:pPr>
            <w:r>
              <w:rPr>
                <w:rFonts w:eastAsia="Arial" w:cs="Arial"/>
                <w:b/>
                <w:sz w:val="20"/>
                <w:szCs w:val="20"/>
              </w:rPr>
              <w:t>2023</w:t>
            </w:r>
          </w:p>
        </w:tc>
        <w:tc>
          <w:tcPr>
            <w:tcW w:w="840" w:type="dxa"/>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AF6A48" w14:textId="77777777" w:rsidR="00501FB8" w:rsidRDefault="00F63BB8">
            <w:pPr>
              <w:spacing w:line="276" w:lineRule="auto"/>
              <w:jc w:val="center"/>
              <w:rPr>
                <w:rFonts w:eastAsia="Arial" w:cs="Arial"/>
                <w:b/>
                <w:sz w:val="20"/>
                <w:szCs w:val="20"/>
              </w:rPr>
            </w:pPr>
            <w:r>
              <w:rPr>
                <w:rFonts w:eastAsia="Arial" w:cs="Arial"/>
                <w:b/>
                <w:sz w:val="20"/>
                <w:szCs w:val="20"/>
              </w:rPr>
              <w:t>2024</w:t>
            </w:r>
          </w:p>
        </w:tc>
        <w:tc>
          <w:tcPr>
            <w:tcW w:w="975" w:type="dxa"/>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48D258C" w14:textId="77777777" w:rsidR="00501FB8" w:rsidRDefault="00F63BB8">
            <w:pPr>
              <w:spacing w:line="276" w:lineRule="auto"/>
              <w:jc w:val="center"/>
              <w:rPr>
                <w:rFonts w:eastAsia="Arial" w:cs="Arial"/>
                <w:b/>
                <w:sz w:val="20"/>
                <w:szCs w:val="20"/>
              </w:rPr>
            </w:pPr>
            <w:r>
              <w:rPr>
                <w:rFonts w:eastAsia="Arial" w:cs="Arial"/>
                <w:b/>
                <w:sz w:val="20"/>
                <w:szCs w:val="20"/>
              </w:rPr>
              <w:t>2025</w:t>
            </w:r>
          </w:p>
        </w:tc>
        <w:tc>
          <w:tcPr>
            <w:tcW w:w="1830" w:type="dxa"/>
            <w:tcBorders>
              <w:top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5E63A15" w14:textId="77777777" w:rsidR="00501FB8" w:rsidRDefault="00F63BB8">
            <w:pPr>
              <w:spacing w:line="276" w:lineRule="auto"/>
              <w:jc w:val="center"/>
              <w:rPr>
                <w:rFonts w:eastAsia="Arial" w:cs="Arial"/>
                <w:b/>
                <w:sz w:val="20"/>
                <w:szCs w:val="20"/>
              </w:rPr>
            </w:pPr>
            <w:r>
              <w:rPr>
                <w:rFonts w:eastAsia="Arial" w:cs="Arial"/>
                <w:b/>
                <w:sz w:val="20"/>
                <w:szCs w:val="20"/>
              </w:rPr>
              <w:t>A partir de 2026</w:t>
            </w:r>
          </w:p>
        </w:tc>
      </w:tr>
      <w:tr w:rsidR="00501FB8" w14:paraId="6101B872" w14:textId="77777777">
        <w:trPr>
          <w:trHeight w:val="3360"/>
        </w:trPr>
        <w:tc>
          <w:tcPr>
            <w:tcW w:w="16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01505E" w14:textId="77777777" w:rsidR="00501FB8" w:rsidRDefault="00F63BB8">
            <w:pPr>
              <w:spacing w:line="276" w:lineRule="auto"/>
              <w:jc w:val="center"/>
              <w:rPr>
                <w:rFonts w:eastAsia="Arial" w:cs="Arial"/>
                <w:sz w:val="20"/>
                <w:szCs w:val="20"/>
              </w:rPr>
            </w:pPr>
            <w:r>
              <w:rPr>
                <w:rFonts w:eastAsia="Arial" w:cs="Arial"/>
                <w:sz w:val="20"/>
                <w:szCs w:val="20"/>
              </w:rPr>
              <w:t>A. - Installations autorisées dont le système de management de l’énergie a été certifié conforme à la norme internationale ISO 50001 par un organisme accrédité</w:t>
            </w:r>
          </w:p>
        </w:tc>
        <w:tc>
          <w:tcPr>
            <w:tcW w:w="1170" w:type="dxa"/>
            <w:tcBorders>
              <w:bottom w:val="single" w:sz="8" w:space="0" w:color="000000"/>
              <w:right w:val="single" w:sz="8" w:space="0" w:color="000000"/>
            </w:tcBorders>
            <w:shd w:val="clear" w:color="auto" w:fill="auto"/>
            <w:tcMar>
              <w:top w:w="100" w:type="dxa"/>
              <w:left w:w="100" w:type="dxa"/>
              <w:bottom w:w="100" w:type="dxa"/>
              <w:right w:w="100" w:type="dxa"/>
            </w:tcMar>
          </w:tcPr>
          <w:p w14:paraId="4174E0D1"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675" w:type="dxa"/>
            <w:tcBorders>
              <w:bottom w:val="single" w:sz="8" w:space="0" w:color="000000"/>
              <w:right w:val="single" w:sz="8" w:space="0" w:color="000000"/>
            </w:tcBorders>
            <w:shd w:val="clear" w:color="auto" w:fill="auto"/>
            <w:tcMar>
              <w:top w:w="100" w:type="dxa"/>
              <w:left w:w="100" w:type="dxa"/>
              <w:bottom w:w="100" w:type="dxa"/>
              <w:right w:w="100" w:type="dxa"/>
            </w:tcMar>
          </w:tcPr>
          <w:p w14:paraId="3BE19462" w14:textId="77777777" w:rsidR="00501FB8" w:rsidRDefault="00F63BB8">
            <w:pPr>
              <w:spacing w:line="276" w:lineRule="auto"/>
              <w:jc w:val="center"/>
              <w:rPr>
                <w:rFonts w:eastAsia="Arial" w:cs="Arial"/>
                <w:sz w:val="20"/>
                <w:szCs w:val="20"/>
              </w:rPr>
            </w:pPr>
            <w:r>
              <w:rPr>
                <w:rFonts w:eastAsia="Arial" w:cs="Arial"/>
                <w:sz w:val="20"/>
                <w:szCs w:val="20"/>
              </w:rPr>
              <w:t>12</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58064100" w14:textId="77777777" w:rsidR="00501FB8" w:rsidRDefault="00F63BB8">
            <w:pPr>
              <w:spacing w:line="276" w:lineRule="auto"/>
              <w:jc w:val="center"/>
              <w:rPr>
                <w:rFonts w:eastAsia="Arial" w:cs="Arial"/>
                <w:sz w:val="20"/>
                <w:szCs w:val="20"/>
              </w:rPr>
            </w:pPr>
            <w:r>
              <w:rPr>
                <w:rFonts w:eastAsia="Arial" w:cs="Arial"/>
                <w:sz w:val="20"/>
                <w:szCs w:val="20"/>
              </w:rPr>
              <w:t>17</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02F88F32" w14:textId="77777777" w:rsidR="00501FB8" w:rsidRDefault="00F63BB8">
            <w:pPr>
              <w:spacing w:line="276" w:lineRule="auto"/>
              <w:jc w:val="center"/>
              <w:rPr>
                <w:rFonts w:eastAsia="Arial" w:cs="Arial"/>
                <w:sz w:val="20"/>
                <w:szCs w:val="20"/>
              </w:rPr>
            </w:pPr>
            <w:r>
              <w:rPr>
                <w:rFonts w:eastAsia="Arial" w:cs="Arial"/>
                <w:sz w:val="20"/>
                <w:szCs w:val="20"/>
              </w:rPr>
              <w:t>18</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149A1DC0" w14:textId="77777777" w:rsidR="00501FB8" w:rsidRDefault="00F63BB8">
            <w:pPr>
              <w:spacing w:line="276" w:lineRule="auto"/>
              <w:jc w:val="center"/>
              <w:rPr>
                <w:rFonts w:eastAsia="Arial" w:cs="Arial"/>
                <w:sz w:val="20"/>
                <w:szCs w:val="20"/>
              </w:rPr>
            </w:pPr>
            <w:r>
              <w:rPr>
                <w:rFonts w:eastAsia="Arial" w:cs="Arial"/>
                <w:sz w:val="20"/>
                <w:szCs w:val="20"/>
              </w:rPr>
              <w:t>20</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77740526" w14:textId="77777777" w:rsidR="00501FB8" w:rsidRDefault="00F63BB8">
            <w:pPr>
              <w:spacing w:line="276" w:lineRule="auto"/>
              <w:jc w:val="center"/>
              <w:rPr>
                <w:rFonts w:eastAsia="Arial" w:cs="Arial"/>
                <w:sz w:val="20"/>
                <w:szCs w:val="20"/>
              </w:rPr>
            </w:pPr>
            <w:r>
              <w:rPr>
                <w:rFonts w:eastAsia="Arial" w:cs="Arial"/>
                <w:sz w:val="20"/>
                <w:szCs w:val="20"/>
              </w:rPr>
              <w:t>22</w:t>
            </w:r>
          </w:p>
        </w:tc>
        <w:tc>
          <w:tcPr>
            <w:tcW w:w="1830" w:type="dxa"/>
            <w:tcBorders>
              <w:bottom w:val="single" w:sz="8" w:space="0" w:color="000000"/>
              <w:right w:val="single" w:sz="8" w:space="0" w:color="000000"/>
            </w:tcBorders>
            <w:shd w:val="clear" w:color="auto" w:fill="auto"/>
            <w:tcMar>
              <w:top w:w="100" w:type="dxa"/>
              <w:left w:w="100" w:type="dxa"/>
              <w:bottom w:w="100" w:type="dxa"/>
              <w:right w:w="100" w:type="dxa"/>
            </w:tcMar>
          </w:tcPr>
          <w:p w14:paraId="38F66EB4" w14:textId="77777777" w:rsidR="00501FB8" w:rsidRDefault="00F63BB8">
            <w:pPr>
              <w:spacing w:line="276" w:lineRule="auto"/>
              <w:jc w:val="center"/>
              <w:rPr>
                <w:rFonts w:eastAsia="Arial" w:cs="Arial"/>
                <w:sz w:val="20"/>
                <w:szCs w:val="20"/>
              </w:rPr>
            </w:pPr>
            <w:r>
              <w:rPr>
                <w:rFonts w:eastAsia="Arial" w:cs="Arial"/>
                <w:sz w:val="20"/>
                <w:szCs w:val="20"/>
              </w:rPr>
              <w:t>25</w:t>
            </w:r>
          </w:p>
        </w:tc>
      </w:tr>
      <w:tr w:rsidR="00501FB8" w14:paraId="6FEEB3FD" w14:textId="77777777">
        <w:trPr>
          <w:trHeight w:val="2055"/>
        </w:trPr>
        <w:tc>
          <w:tcPr>
            <w:tcW w:w="16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0DCB14" w14:textId="77777777" w:rsidR="00501FB8" w:rsidRDefault="00F63BB8">
            <w:pPr>
              <w:spacing w:line="276" w:lineRule="auto"/>
              <w:jc w:val="center"/>
              <w:rPr>
                <w:rFonts w:eastAsia="Arial" w:cs="Arial"/>
                <w:sz w:val="20"/>
                <w:szCs w:val="20"/>
              </w:rPr>
            </w:pPr>
            <w:r>
              <w:rPr>
                <w:rFonts w:eastAsia="Arial" w:cs="Arial"/>
                <w:sz w:val="20"/>
                <w:szCs w:val="20"/>
              </w:rPr>
              <w:t xml:space="preserve">B. - Installations autorisées dont les valeurs d’émission de </w:t>
            </w:r>
            <w:proofErr w:type="spellStart"/>
            <w:r>
              <w:rPr>
                <w:rFonts w:eastAsia="Arial" w:cs="Arial"/>
                <w:sz w:val="20"/>
                <w:szCs w:val="20"/>
              </w:rPr>
              <w:t>NOx</w:t>
            </w:r>
            <w:proofErr w:type="spellEnd"/>
            <w:r>
              <w:rPr>
                <w:rFonts w:eastAsia="Arial" w:cs="Arial"/>
                <w:sz w:val="20"/>
                <w:szCs w:val="20"/>
              </w:rPr>
              <w:t xml:space="preserve"> sont inférieures à 80 mg/ Nm3</w:t>
            </w:r>
          </w:p>
        </w:tc>
        <w:tc>
          <w:tcPr>
            <w:tcW w:w="1170" w:type="dxa"/>
            <w:tcBorders>
              <w:bottom w:val="single" w:sz="8" w:space="0" w:color="000000"/>
              <w:right w:val="single" w:sz="8" w:space="0" w:color="000000"/>
            </w:tcBorders>
            <w:shd w:val="clear" w:color="auto" w:fill="auto"/>
            <w:tcMar>
              <w:top w:w="100" w:type="dxa"/>
              <w:left w:w="100" w:type="dxa"/>
              <w:bottom w:w="100" w:type="dxa"/>
              <w:right w:w="100" w:type="dxa"/>
            </w:tcMar>
          </w:tcPr>
          <w:p w14:paraId="1E3473B1"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675" w:type="dxa"/>
            <w:tcBorders>
              <w:bottom w:val="single" w:sz="8" w:space="0" w:color="000000"/>
              <w:right w:val="single" w:sz="8" w:space="0" w:color="000000"/>
            </w:tcBorders>
            <w:shd w:val="clear" w:color="auto" w:fill="auto"/>
            <w:tcMar>
              <w:top w:w="100" w:type="dxa"/>
              <w:left w:w="100" w:type="dxa"/>
              <w:bottom w:w="100" w:type="dxa"/>
              <w:right w:w="100" w:type="dxa"/>
            </w:tcMar>
          </w:tcPr>
          <w:p w14:paraId="5D471455" w14:textId="77777777" w:rsidR="00501FB8" w:rsidRDefault="00F63BB8">
            <w:pPr>
              <w:spacing w:line="276" w:lineRule="auto"/>
              <w:jc w:val="center"/>
              <w:rPr>
                <w:rFonts w:eastAsia="Arial" w:cs="Arial"/>
                <w:sz w:val="20"/>
                <w:szCs w:val="20"/>
              </w:rPr>
            </w:pPr>
            <w:r>
              <w:rPr>
                <w:rFonts w:eastAsia="Arial" w:cs="Arial"/>
                <w:sz w:val="20"/>
                <w:szCs w:val="20"/>
              </w:rPr>
              <w:t>12</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0AE3E237" w14:textId="77777777" w:rsidR="00501FB8" w:rsidRDefault="00F63BB8">
            <w:pPr>
              <w:spacing w:line="276" w:lineRule="auto"/>
              <w:jc w:val="center"/>
              <w:rPr>
                <w:rFonts w:eastAsia="Arial" w:cs="Arial"/>
                <w:sz w:val="20"/>
                <w:szCs w:val="20"/>
              </w:rPr>
            </w:pPr>
            <w:r>
              <w:rPr>
                <w:rFonts w:eastAsia="Arial" w:cs="Arial"/>
                <w:sz w:val="20"/>
                <w:szCs w:val="20"/>
              </w:rPr>
              <w:t>17</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636A0995" w14:textId="77777777" w:rsidR="00501FB8" w:rsidRDefault="00F63BB8">
            <w:pPr>
              <w:spacing w:line="276" w:lineRule="auto"/>
              <w:jc w:val="center"/>
              <w:rPr>
                <w:rFonts w:eastAsia="Arial" w:cs="Arial"/>
                <w:sz w:val="20"/>
                <w:szCs w:val="20"/>
              </w:rPr>
            </w:pPr>
            <w:r>
              <w:rPr>
                <w:rFonts w:eastAsia="Arial" w:cs="Arial"/>
                <w:sz w:val="20"/>
                <w:szCs w:val="20"/>
              </w:rPr>
              <w:t>18</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75FE7C68" w14:textId="77777777" w:rsidR="00501FB8" w:rsidRDefault="00F63BB8">
            <w:pPr>
              <w:spacing w:line="276" w:lineRule="auto"/>
              <w:jc w:val="center"/>
              <w:rPr>
                <w:rFonts w:eastAsia="Arial" w:cs="Arial"/>
                <w:sz w:val="20"/>
                <w:szCs w:val="20"/>
              </w:rPr>
            </w:pPr>
            <w:r>
              <w:rPr>
                <w:rFonts w:eastAsia="Arial" w:cs="Arial"/>
                <w:sz w:val="20"/>
                <w:szCs w:val="20"/>
              </w:rPr>
              <w:t>20</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3EF79579" w14:textId="77777777" w:rsidR="00501FB8" w:rsidRDefault="00F63BB8">
            <w:pPr>
              <w:spacing w:line="276" w:lineRule="auto"/>
              <w:jc w:val="center"/>
              <w:rPr>
                <w:rFonts w:eastAsia="Arial" w:cs="Arial"/>
                <w:sz w:val="20"/>
                <w:szCs w:val="20"/>
              </w:rPr>
            </w:pPr>
            <w:r>
              <w:rPr>
                <w:rFonts w:eastAsia="Arial" w:cs="Arial"/>
                <w:sz w:val="20"/>
                <w:szCs w:val="20"/>
              </w:rPr>
              <w:t>22</w:t>
            </w:r>
          </w:p>
        </w:tc>
        <w:tc>
          <w:tcPr>
            <w:tcW w:w="1830" w:type="dxa"/>
            <w:tcBorders>
              <w:bottom w:val="single" w:sz="8" w:space="0" w:color="000000"/>
              <w:right w:val="single" w:sz="8" w:space="0" w:color="000000"/>
            </w:tcBorders>
            <w:shd w:val="clear" w:color="auto" w:fill="auto"/>
            <w:tcMar>
              <w:top w:w="100" w:type="dxa"/>
              <w:left w:w="100" w:type="dxa"/>
              <w:bottom w:w="100" w:type="dxa"/>
              <w:right w:w="100" w:type="dxa"/>
            </w:tcMar>
          </w:tcPr>
          <w:p w14:paraId="3B2E07D1" w14:textId="77777777" w:rsidR="00501FB8" w:rsidRDefault="00F63BB8">
            <w:pPr>
              <w:spacing w:line="276" w:lineRule="auto"/>
              <w:jc w:val="center"/>
              <w:rPr>
                <w:rFonts w:eastAsia="Arial" w:cs="Arial"/>
                <w:sz w:val="20"/>
                <w:szCs w:val="20"/>
              </w:rPr>
            </w:pPr>
            <w:r>
              <w:rPr>
                <w:rFonts w:eastAsia="Arial" w:cs="Arial"/>
                <w:sz w:val="20"/>
                <w:szCs w:val="20"/>
              </w:rPr>
              <w:t>25</w:t>
            </w:r>
          </w:p>
        </w:tc>
      </w:tr>
      <w:tr w:rsidR="00501FB8" w14:paraId="3FE911B6" w14:textId="77777777">
        <w:trPr>
          <w:trHeight w:val="2820"/>
        </w:trPr>
        <w:tc>
          <w:tcPr>
            <w:tcW w:w="16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BF3A9" w14:textId="77777777" w:rsidR="00501FB8" w:rsidRDefault="00F63BB8">
            <w:pPr>
              <w:spacing w:line="276" w:lineRule="auto"/>
              <w:jc w:val="center"/>
              <w:rPr>
                <w:rFonts w:eastAsia="Arial" w:cs="Arial"/>
                <w:sz w:val="20"/>
                <w:szCs w:val="20"/>
              </w:rPr>
            </w:pPr>
            <w:r>
              <w:rPr>
                <w:rFonts w:eastAsia="Arial" w:cs="Arial"/>
                <w:sz w:val="20"/>
                <w:szCs w:val="20"/>
              </w:rPr>
              <w:t>C. - Installations autorisées réalisant une valorisation énergétique élevée dont le rendement énergétique est supérieur ou égal à 0,65</w:t>
            </w:r>
          </w:p>
        </w:tc>
        <w:tc>
          <w:tcPr>
            <w:tcW w:w="1170" w:type="dxa"/>
            <w:tcBorders>
              <w:bottom w:val="single" w:sz="8" w:space="0" w:color="000000"/>
              <w:right w:val="single" w:sz="8" w:space="0" w:color="000000"/>
            </w:tcBorders>
            <w:shd w:val="clear" w:color="auto" w:fill="auto"/>
            <w:tcMar>
              <w:top w:w="100" w:type="dxa"/>
              <w:left w:w="100" w:type="dxa"/>
              <w:bottom w:w="100" w:type="dxa"/>
              <w:right w:w="100" w:type="dxa"/>
            </w:tcMar>
          </w:tcPr>
          <w:p w14:paraId="353F72E3"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675" w:type="dxa"/>
            <w:tcBorders>
              <w:bottom w:val="single" w:sz="8" w:space="0" w:color="000000"/>
              <w:right w:val="single" w:sz="8" w:space="0" w:color="000000"/>
            </w:tcBorders>
            <w:shd w:val="clear" w:color="auto" w:fill="auto"/>
            <w:tcMar>
              <w:top w:w="100" w:type="dxa"/>
              <w:left w:w="100" w:type="dxa"/>
              <w:bottom w:w="100" w:type="dxa"/>
              <w:right w:w="100" w:type="dxa"/>
            </w:tcMar>
          </w:tcPr>
          <w:p w14:paraId="5E2735CC" w14:textId="77777777" w:rsidR="00501FB8" w:rsidRDefault="00F63BB8">
            <w:pPr>
              <w:spacing w:line="276" w:lineRule="auto"/>
              <w:jc w:val="center"/>
              <w:rPr>
                <w:rFonts w:eastAsia="Arial" w:cs="Arial"/>
                <w:sz w:val="20"/>
                <w:szCs w:val="20"/>
              </w:rPr>
            </w:pPr>
            <w:r>
              <w:rPr>
                <w:rFonts w:eastAsia="Arial" w:cs="Arial"/>
                <w:sz w:val="20"/>
                <w:szCs w:val="20"/>
              </w:rPr>
              <w:t>9</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2147A9F4"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554FBD1F"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6F17330A"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680DEC3C"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1830" w:type="dxa"/>
            <w:tcBorders>
              <w:bottom w:val="single" w:sz="8" w:space="0" w:color="000000"/>
              <w:right w:val="single" w:sz="8" w:space="0" w:color="000000"/>
            </w:tcBorders>
            <w:shd w:val="clear" w:color="auto" w:fill="auto"/>
            <w:tcMar>
              <w:top w:w="100" w:type="dxa"/>
              <w:left w:w="100" w:type="dxa"/>
              <w:bottom w:w="100" w:type="dxa"/>
              <w:right w:w="100" w:type="dxa"/>
            </w:tcMar>
          </w:tcPr>
          <w:p w14:paraId="792C9F52" w14:textId="77777777" w:rsidR="00501FB8" w:rsidRDefault="00F63BB8">
            <w:pPr>
              <w:spacing w:line="276" w:lineRule="auto"/>
              <w:jc w:val="center"/>
              <w:rPr>
                <w:rFonts w:eastAsia="Arial" w:cs="Arial"/>
                <w:sz w:val="20"/>
                <w:szCs w:val="20"/>
              </w:rPr>
            </w:pPr>
            <w:r>
              <w:rPr>
                <w:rFonts w:eastAsia="Arial" w:cs="Arial"/>
                <w:sz w:val="20"/>
                <w:szCs w:val="20"/>
              </w:rPr>
              <w:t>15</w:t>
            </w:r>
          </w:p>
        </w:tc>
      </w:tr>
      <w:tr w:rsidR="00501FB8" w14:paraId="2546C94B" w14:textId="77777777">
        <w:trPr>
          <w:trHeight w:val="1005"/>
        </w:trPr>
        <w:tc>
          <w:tcPr>
            <w:tcW w:w="16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5955F2" w14:textId="77777777" w:rsidR="00501FB8" w:rsidRDefault="00F63BB8">
            <w:pPr>
              <w:spacing w:line="276" w:lineRule="auto"/>
              <w:jc w:val="center"/>
              <w:rPr>
                <w:rFonts w:eastAsia="Arial" w:cs="Arial"/>
                <w:sz w:val="20"/>
                <w:szCs w:val="20"/>
              </w:rPr>
            </w:pPr>
            <w:r>
              <w:rPr>
                <w:rFonts w:eastAsia="Arial" w:cs="Arial"/>
                <w:sz w:val="20"/>
                <w:szCs w:val="20"/>
              </w:rPr>
              <w:t>D. - Installations relevant à la fois des A et B</w:t>
            </w:r>
          </w:p>
        </w:tc>
        <w:tc>
          <w:tcPr>
            <w:tcW w:w="1170" w:type="dxa"/>
            <w:tcBorders>
              <w:bottom w:val="single" w:sz="8" w:space="0" w:color="000000"/>
              <w:right w:val="single" w:sz="8" w:space="0" w:color="000000"/>
            </w:tcBorders>
            <w:shd w:val="clear" w:color="auto" w:fill="auto"/>
            <w:tcMar>
              <w:top w:w="100" w:type="dxa"/>
              <w:left w:w="100" w:type="dxa"/>
              <w:bottom w:w="100" w:type="dxa"/>
              <w:right w:w="100" w:type="dxa"/>
            </w:tcMar>
          </w:tcPr>
          <w:p w14:paraId="5D431528"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675" w:type="dxa"/>
            <w:tcBorders>
              <w:bottom w:val="single" w:sz="8" w:space="0" w:color="000000"/>
              <w:right w:val="single" w:sz="8" w:space="0" w:color="000000"/>
            </w:tcBorders>
            <w:shd w:val="clear" w:color="auto" w:fill="auto"/>
            <w:tcMar>
              <w:top w:w="100" w:type="dxa"/>
              <w:left w:w="100" w:type="dxa"/>
              <w:bottom w:w="100" w:type="dxa"/>
              <w:right w:w="100" w:type="dxa"/>
            </w:tcMar>
          </w:tcPr>
          <w:p w14:paraId="718F7D44" w14:textId="77777777" w:rsidR="00501FB8" w:rsidRDefault="00F63BB8">
            <w:pPr>
              <w:spacing w:line="276" w:lineRule="auto"/>
              <w:jc w:val="center"/>
              <w:rPr>
                <w:rFonts w:eastAsia="Arial" w:cs="Arial"/>
                <w:sz w:val="20"/>
                <w:szCs w:val="20"/>
              </w:rPr>
            </w:pPr>
            <w:r>
              <w:rPr>
                <w:rFonts w:eastAsia="Arial" w:cs="Arial"/>
                <w:sz w:val="20"/>
                <w:szCs w:val="20"/>
              </w:rPr>
              <w:t>9</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28C57C76"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3B447DEE"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4D9FDCBE" w14:textId="77777777" w:rsidR="00501FB8" w:rsidRDefault="00F63BB8">
            <w:pPr>
              <w:spacing w:line="276" w:lineRule="auto"/>
              <w:jc w:val="center"/>
              <w:rPr>
                <w:rFonts w:eastAsia="Arial" w:cs="Arial"/>
                <w:sz w:val="20"/>
                <w:szCs w:val="20"/>
              </w:rPr>
            </w:pPr>
            <w:r>
              <w:rPr>
                <w:rFonts w:eastAsia="Arial" w:cs="Arial"/>
                <w:sz w:val="20"/>
                <w:szCs w:val="20"/>
              </w:rPr>
              <w:t>17</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08E4313B" w14:textId="77777777" w:rsidR="00501FB8" w:rsidRDefault="00F63BB8">
            <w:pPr>
              <w:spacing w:line="276" w:lineRule="auto"/>
              <w:jc w:val="center"/>
              <w:rPr>
                <w:rFonts w:eastAsia="Arial" w:cs="Arial"/>
                <w:sz w:val="20"/>
                <w:szCs w:val="20"/>
              </w:rPr>
            </w:pPr>
            <w:r>
              <w:rPr>
                <w:rFonts w:eastAsia="Arial" w:cs="Arial"/>
                <w:sz w:val="20"/>
                <w:szCs w:val="20"/>
              </w:rPr>
              <w:t>20</w:t>
            </w:r>
          </w:p>
        </w:tc>
        <w:tc>
          <w:tcPr>
            <w:tcW w:w="1830" w:type="dxa"/>
            <w:tcBorders>
              <w:bottom w:val="single" w:sz="8" w:space="0" w:color="000000"/>
              <w:right w:val="single" w:sz="8" w:space="0" w:color="000000"/>
            </w:tcBorders>
            <w:shd w:val="clear" w:color="auto" w:fill="auto"/>
            <w:tcMar>
              <w:top w:w="100" w:type="dxa"/>
              <w:left w:w="100" w:type="dxa"/>
              <w:bottom w:w="100" w:type="dxa"/>
              <w:right w:w="100" w:type="dxa"/>
            </w:tcMar>
          </w:tcPr>
          <w:p w14:paraId="35414D7F" w14:textId="77777777" w:rsidR="00501FB8" w:rsidRDefault="00F63BB8">
            <w:pPr>
              <w:spacing w:line="276" w:lineRule="auto"/>
              <w:jc w:val="center"/>
              <w:rPr>
                <w:rFonts w:eastAsia="Arial" w:cs="Arial"/>
                <w:sz w:val="20"/>
                <w:szCs w:val="20"/>
              </w:rPr>
            </w:pPr>
            <w:r>
              <w:rPr>
                <w:rFonts w:eastAsia="Arial" w:cs="Arial"/>
                <w:sz w:val="20"/>
                <w:szCs w:val="20"/>
              </w:rPr>
              <w:t>25</w:t>
            </w:r>
          </w:p>
        </w:tc>
      </w:tr>
      <w:tr w:rsidR="00501FB8" w14:paraId="219F9A71" w14:textId="77777777">
        <w:trPr>
          <w:trHeight w:val="1005"/>
        </w:trPr>
        <w:tc>
          <w:tcPr>
            <w:tcW w:w="16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A51904" w14:textId="77777777" w:rsidR="00501FB8" w:rsidRDefault="00F63BB8">
            <w:pPr>
              <w:spacing w:line="276" w:lineRule="auto"/>
              <w:jc w:val="center"/>
              <w:rPr>
                <w:rFonts w:eastAsia="Arial" w:cs="Arial"/>
                <w:sz w:val="20"/>
                <w:szCs w:val="20"/>
              </w:rPr>
            </w:pPr>
            <w:r>
              <w:rPr>
                <w:rFonts w:eastAsia="Arial" w:cs="Arial"/>
                <w:sz w:val="20"/>
                <w:szCs w:val="20"/>
              </w:rPr>
              <w:t>E. - Installations relevant à la fois des A et C</w:t>
            </w:r>
          </w:p>
        </w:tc>
        <w:tc>
          <w:tcPr>
            <w:tcW w:w="1170" w:type="dxa"/>
            <w:tcBorders>
              <w:bottom w:val="single" w:sz="8" w:space="0" w:color="000000"/>
              <w:right w:val="single" w:sz="8" w:space="0" w:color="000000"/>
            </w:tcBorders>
            <w:shd w:val="clear" w:color="auto" w:fill="auto"/>
            <w:tcMar>
              <w:top w:w="100" w:type="dxa"/>
              <w:left w:w="100" w:type="dxa"/>
              <w:bottom w:w="100" w:type="dxa"/>
              <w:right w:w="100" w:type="dxa"/>
            </w:tcMar>
          </w:tcPr>
          <w:p w14:paraId="03BD6EF8"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675" w:type="dxa"/>
            <w:tcBorders>
              <w:bottom w:val="single" w:sz="8" w:space="0" w:color="000000"/>
              <w:right w:val="single" w:sz="8" w:space="0" w:color="000000"/>
            </w:tcBorders>
            <w:shd w:val="clear" w:color="auto" w:fill="auto"/>
            <w:tcMar>
              <w:top w:w="100" w:type="dxa"/>
              <w:left w:w="100" w:type="dxa"/>
              <w:bottom w:w="100" w:type="dxa"/>
              <w:right w:w="100" w:type="dxa"/>
            </w:tcMar>
          </w:tcPr>
          <w:p w14:paraId="1556E2A2" w14:textId="77777777" w:rsidR="00501FB8" w:rsidRDefault="00F63BB8">
            <w:pPr>
              <w:spacing w:line="276" w:lineRule="auto"/>
              <w:jc w:val="center"/>
              <w:rPr>
                <w:rFonts w:eastAsia="Arial" w:cs="Arial"/>
                <w:sz w:val="20"/>
                <w:szCs w:val="20"/>
              </w:rPr>
            </w:pPr>
            <w:r>
              <w:rPr>
                <w:rFonts w:eastAsia="Arial" w:cs="Arial"/>
                <w:sz w:val="20"/>
                <w:szCs w:val="20"/>
              </w:rPr>
              <w:t>6</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41411FB7" w14:textId="77777777" w:rsidR="00501FB8" w:rsidRDefault="00F63BB8">
            <w:pPr>
              <w:spacing w:line="276" w:lineRule="auto"/>
              <w:jc w:val="center"/>
              <w:rPr>
                <w:rFonts w:eastAsia="Arial" w:cs="Arial"/>
                <w:sz w:val="20"/>
                <w:szCs w:val="20"/>
              </w:rPr>
            </w:pPr>
            <w:r>
              <w:rPr>
                <w:rFonts w:eastAsia="Arial" w:cs="Arial"/>
                <w:sz w:val="20"/>
                <w:szCs w:val="20"/>
              </w:rPr>
              <w:t>11</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7A6A9887" w14:textId="77777777" w:rsidR="00501FB8" w:rsidRDefault="00F63BB8">
            <w:pPr>
              <w:spacing w:line="276" w:lineRule="auto"/>
              <w:jc w:val="center"/>
              <w:rPr>
                <w:rFonts w:eastAsia="Arial" w:cs="Arial"/>
                <w:sz w:val="20"/>
                <w:szCs w:val="20"/>
              </w:rPr>
            </w:pPr>
            <w:r>
              <w:rPr>
                <w:rFonts w:eastAsia="Arial" w:cs="Arial"/>
                <w:sz w:val="20"/>
                <w:szCs w:val="20"/>
              </w:rPr>
              <w:t>12</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666A6635" w14:textId="77777777" w:rsidR="00501FB8" w:rsidRDefault="00F63BB8">
            <w:pPr>
              <w:spacing w:line="276" w:lineRule="auto"/>
              <w:jc w:val="center"/>
              <w:rPr>
                <w:rFonts w:eastAsia="Arial" w:cs="Arial"/>
                <w:sz w:val="20"/>
                <w:szCs w:val="20"/>
              </w:rPr>
            </w:pPr>
            <w:r>
              <w:rPr>
                <w:rFonts w:eastAsia="Arial" w:cs="Arial"/>
                <w:sz w:val="20"/>
                <w:szCs w:val="20"/>
              </w:rPr>
              <w:t>13</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1ADFE024"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1830" w:type="dxa"/>
            <w:tcBorders>
              <w:bottom w:val="single" w:sz="8" w:space="0" w:color="000000"/>
              <w:right w:val="single" w:sz="8" w:space="0" w:color="000000"/>
            </w:tcBorders>
            <w:shd w:val="clear" w:color="auto" w:fill="auto"/>
            <w:tcMar>
              <w:top w:w="100" w:type="dxa"/>
              <w:left w:w="100" w:type="dxa"/>
              <w:bottom w:w="100" w:type="dxa"/>
              <w:right w:w="100" w:type="dxa"/>
            </w:tcMar>
          </w:tcPr>
          <w:p w14:paraId="19A6733D" w14:textId="77777777" w:rsidR="00501FB8" w:rsidRDefault="00F63BB8">
            <w:pPr>
              <w:spacing w:line="276" w:lineRule="auto"/>
              <w:jc w:val="center"/>
              <w:rPr>
                <w:rFonts w:eastAsia="Arial" w:cs="Arial"/>
                <w:sz w:val="20"/>
                <w:szCs w:val="20"/>
              </w:rPr>
            </w:pPr>
            <w:r>
              <w:rPr>
                <w:rFonts w:eastAsia="Arial" w:cs="Arial"/>
                <w:sz w:val="20"/>
                <w:szCs w:val="20"/>
              </w:rPr>
              <w:t>15</w:t>
            </w:r>
          </w:p>
        </w:tc>
      </w:tr>
      <w:tr w:rsidR="00501FB8" w14:paraId="387456D4" w14:textId="77777777">
        <w:trPr>
          <w:trHeight w:val="900"/>
        </w:trPr>
        <w:tc>
          <w:tcPr>
            <w:tcW w:w="16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F4AC22" w14:textId="77777777" w:rsidR="00501FB8" w:rsidRDefault="00F63BB8">
            <w:pPr>
              <w:spacing w:line="276" w:lineRule="auto"/>
              <w:jc w:val="center"/>
              <w:rPr>
                <w:rFonts w:eastAsia="Arial" w:cs="Arial"/>
                <w:sz w:val="20"/>
                <w:szCs w:val="20"/>
              </w:rPr>
            </w:pPr>
            <w:r>
              <w:rPr>
                <w:rFonts w:eastAsia="Arial" w:cs="Arial"/>
                <w:sz w:val="20"/>
                <w:szCs w:val="20"/>
              </w:rPr>
              <w:lastRenderedPageBreak/>
              <w:t>F. - Installations relevant à la fois des B et C</w:t>
            </w:r>
          </w:p>
        </w:tc>
        <w:tc>
          <w:tcPr>
            <w:tcW w:w="1170" w:type="dxa"/>
            <w:tcBorders>
              <w:bottom w:val="single" w:sz="8" w:space="0" w:color="000000"/>
              <w:right w:val="single" w:sz="8" w:space="0" w:color="000000"/>
            </w:tcBorders>
            <w:shd w:val="clear" w:color="auto" w:fill="auto"/>
            <w:tcMar>
              <w:top w:w="100" w:type="dxa"/>
              <w:left w:w="100" w:type="dxa"/>
              <w:bottom w:w="100" w:type="dxa"/>
              <w:right w:w="100" w:type="dxa"/>
            </w:tcMar>
          </w:tcPr>
          <w:p w14:paraId="7F7C47F9"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675" w:type="dxa"/>
            <w:tcBorders>
              <w:bottom w:val="single" w:sz="8" w:space="0" w:color="000000"/>
              <w:right w:val="single" w:sz="8" w:space="0" w:color="000000"/>
            </w:tcBorders>
            <w:shd w:val="clear" w:color="auto" w:fill="auto"/>
            <w:tcMar>
              <w:top w:w="100" w:type="dxa"/>
              <w:left w:w="100" w:type="dxa"/>
              <w:bottom w:w="100" w:type="dxa"/>
              <w:right w:w="100" w:type="dxa"/>
            </w:tcMar>
          </w:tcPr>
          <w:p w14:paraId="5DE2216E" w14:textId="77777777" w:rsidR="00501FB8" w:rsidRDefault="00F63BB8">
            <w:pPr>
              <w:spacing w:line="276" w:lineRule="auto"/>
              <w:jc w:val="center"/>
              <w:rPr>
                <w:rFonts w:eastAsia="Arial" w:cs="Arial"/>
                <w:sz w:val="20"/>
                <w:szCs w:val="20"/>
              </w:rPr>
            </w:pPr>
            <w:r>
              <w:rPr>
                <w:rFonts w:eastAsia="Arial" w:cs="Arial"/>
                <w:sz w:val="20"/>
                <w:szCs w:val="20"/>
              </w:rPr>
              <w:t>5</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47296130" w14:textId="77777777" w:rsidR="00501FB8" w:rsidRDefault="00F63BB8">
            <w:pPr>
              <w:spacing w:line="276" w:lineRule="auto"/>
              <w:jc w:val="center"/>
              <w:rPr>
                <w:rFonts w:eastAsia="Arial" w:cs="Arial"/>
                <w:sz w:val="20"/>
                <w:szCs w:val="20"/>
              </w:rPr>
            </w:pPr>
            <w:r>
              <w:rPr>
                <w:rFonts w:eastAsia="Arial" w:cs="Arial"/>
                <w:sz w:val="20"/>
                <w:szCs w:val="20"/>
              </w:rPr>
              <w:t>10</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19823B51" w14:textId="77777777" w:rsidR="00501FB8" w:rsidRDefault="00F63BB8">
            <w:pPr>
              <w:spacing w:line="276" w:lineRule="auto"/>
              <w:jc w:val="center"/>
              <w:rPr>
                <w:rFonts w:eastAsia="Arial" w:cs="Arial"/>
                <w:sz w:val="20"/>
                <w:szCs w:val="20"/>
              </w:rPr>
            </w:pPr>
            <w:r>
              <w:rPr>
                <w:rFonts w:eastAsia="Arial" w:cs="Arial"/>
                <w:sz w:val="20"/>
                <w:szCs w:val="20"/>
              </w:rPr>
              <w:t>11</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342A53D7" w14:textId="77777777" w:rsidR="00501FB8" w:rsidRDefault="00F63BB8">
            <w:pPr>
              <w:spacing w:line="276" w:lineRule="auto"/>
              <w:jc w:val="center"/>
              <w:rPr>
                <w:rFonts w:eastAsia="Arial" w:cs="Arial"/>
                <w:sz w:val="20"/>
                <w:szCs w:val="20"/>
              </w:rPr>
            </w:pPr>
            <w:r>
              <w:rPr>
                <w:rFonts w:eastAsia="Arial" w:cs="Arial"/>
                <w:sz w:val="20"/>
                <w:szCs w:val="20"/>
              </w:rPr>
              <w:t>12</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56DF2889"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1830" w:type="dxa"/>
            <w:tcBorders>
              <w:bottom w:val="single" w:sz="8" w:space="0" w:color="000000"/>
              <w:right w:val="single" w:sz="8" w:space="0" w:color="000000"/>
            </w:tcBorders>
            <w:shd w:val="clear" w:color="auto" w:fill="auto"/>
            <w:tcMar>
              <w:top w:w="100" w:type="dxa"/>
              <w:left w:w="100" w:type="dxa"/>
              <w:bottom w:w="100" w:type="dxa"/>
              <w:right w:w="100" w:type="dxa"/>
            </w:tcMar>
          </w:tcPr>
          <w:p w14:paraId="4A22E9E8" w14:textId="77777777" w:rsidR="00501FB8" w:rsidRDefault="00F63BB8">
            <w:pPr>
              <w:spacing w:line="276" w:lineRule="auto"/>
              <w:jc w:val="center"/>
              <w:rPr>
                <w:rFonts w:eastAsia="Arial" w:cs="Arial"/>
                <w:sz w:val="20"/>
                <w:szCs w:val="20"/>
              </w:rPr>
            </w:pPr>
            <w:r>
              <w:rPr>
                <w:rFonts w:eastAsia="Arial" w:cs="Arial"/>
                <w:sz w:val="20"/>
                <w:szCs w:val="20"/>
              </w:rPr>
              <w:t>15</w:t>
            </w:r>
          </w:p>
        </w:tc>
      </w:tr>
      <w:tr w:rsidR="00501FB8" w14:paraId="0D28AE20" w14:textId="77777777">
        <w:trPr>
          <w:trHeight w:val="1020"/>
        </w:trPr>
        <w:tc>
          <w:tcPr>
            <w:tcW w:w="16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3CBEB" w14:textId="77777777" w:rsidR="00501FB8" w:rsidRDefault="00F63BB8">
            <w:pPr>
              <w:spacing w:line="276" w:lineRule="auto"/>
              <w:jc w:val="center"/>
              <w:rPr>
                <w:rFonts w:eastAsia="Arial" w:cs="Arial"/>
                <w:sz w:val="20"/>
                <w:szCs w:val="20"/>
              </w:rPr>
            </w:pPr>
            <w:r>
              <w:rPr>
                <w:rFonts w:eastAsia="Arial" w:cs="Arial"/>
                <w:sz w:val="20"/>
                <w:szCs w:val="20"/>
              </w:rPr>
              <w:t xml:space="preserve">G. - Installations relevant à la fois des </w:t>
            </w:r>
            <w:proofErr w:type="gramStart"/>
            <w:r>
              <w:rPr>
                <w:rFonts w:eastAsia="Arial" w:cs="Arial"/>
                <w:sz w:val="20"/>
                <w:szCs w:val="20"/>
              </w:rPr>
              <w:t>A ,</w:t>
            </w:r>
            <w:proofErr w:type="gramEnd"/>
            <w:r>
              <w:rPr>
                <w:rFonts w:eastAsia="Arial" w:cs="Arial"/>
                <w:sz w:val="20"/>
                <w:szCs w:val="20"/>
              </w:rPr>
              <w:t xml:space="preserve"> B et C</w:t>
            </w:r>
          </w:p>
        </w:tc>
        <w:tc>
          <w:tcPr>
            <w:tcW w:w="1170" w:type="dxa"/>
            <w:tcBorders>
              <w:bottom w:val="single" w:sz="8" w:space="0" w:color="000000"/>
              <w:right w:val="single" w:sz="8" w:space="0" w:color="000000"/>
            </w:tcBorders>
            <w:shd w:val="clear" w:color="auto" w:fill="auto"/>
            <w:tcMar>
              <w:top w:w="100" w:type="dxa"/>
              <w:left w:w="100" w:type="dxa"/>
              <w:bottom w:w="100" w:type="dxa"/>
              <w:right w:w="100" w:type="dxa"/>
            </w:tcMar>
          </w:tcPr>
          <w:p w14:paraId="7822EC74"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675" w:type="dxa"/>
            <w:tcBorders>
              <w:bottom w:val="single" w:sz="8" w:space="0" w:color="000000"/>
              <w:right w:val="single" w:sz="8" w:space="0" w:color="000000"/>
            </w:tcBorders>
            <w:shd w:val="clear" w:color="auto" w:fill="auto"/>
            <w:tcMar>
              <w:top w:w="100" w:type="dxa"/>
              <w:left w:w="100" w:type="dxa"/>
              <w:bottom w:w="100" w:type="dxa"/>
              <w:right w:w="100" w:type="dxa"/>
            </w:tcMar>
          </w:tcPr>
          <w:p w14:paraId="6ED62888" w14:textId="77777777" w:rsidR="00501FB8" w:rsidRDefault="00F63BB8">
            <w:pPr>
              <w:spacing w:line="276" w:lineRule="auto"/>
              <w:jc w:val="center"/>
              <w:rPr>
                <w:rFonts w:eastAsia="Arial" w:cs="Arial"/>
                <w:sz w:val="20"/>
                <w:szCs w:val="20"/>
              </w:rPr>
            </w:pPr>
            <w:r>
              <w:rPr>
                <w:rFonts w:eastAsia="Arial" w:cs="Arial"/>
                <w:sz w:val="20"/>
                <w:szCs w:val="20"/>
              </w:rPr>
              <w:t>3</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28DDD621" w14:textId="77777777" w:rsidR="00501FB8" w:rsidRDefault="00F63BB8">
            <w:pPr>
              <w:spacing w:line="276" w:lineRule="auto"/>
              <w:jc w:val="center"/>
              <w:rPr>
                <w:rFonts w:eastAsia="Arial" w:cs="Arial"/>
                <w:sz w:val="20"/>
                <w:szCs w:val="20"/>
              </w:rPr>
            </w:pPr>
            <w:r>
              <w:rPr>
                <w:rFonts w:eastAsia="Arial" w:cs="Arial"/>
                <w:sz w:val="20"/>
                <w:szCs w:val="20"/>
              </w:rPr>
              <w:t>8</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616C790B" w14:textId="77777777" w:rsidR="00501FB8" w:rsidRDefault="00F63BB8">
            <w:pPr>
              <w:spacing w:line="276" w:lineRule="auto"/>
              <w:jc w:val="center"/>
              <w:rPr>
                <w:rFonts w:eastAsia="Arial" w:cs="Arial"/>
                <w:sz w:val="20"/>
                <w:szCs w:val="20"/>
              </w:rPr>
            </w:pPr>
            <w:r>
              <w:rPr>
                <w:rFonts w:eastAsia="Arial" w:cs="Arial"/>
                <w:sz w:val="20"/>
                <w:szCs w:val="20"/>
              </w:rPr>
              <w:t>11</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196C78A9" w14:textId="77777777" w:rsidR="00501FB8" w:rsidRDefault="00F63BB8">
            <w:pPr>
              <w:spacing w:line="276" w:lineRule="auto"/>
              <w:jc w:val="center"/>
              <w:rPr>
                <w:rFonts w:eastAsia="Arial" w:cs="Arial"/>
                <w:sz w:val="20"/>
                <w:szCs w:val="20"/>
              </w:rPr>
            </w:pPr>
            <w:r>
              <w:rPr>
                <w:rFonts w:eastAsia="Arial" w:cs="Arial"/>
                <w:sz w:val="20"/>
                <w:szCs w:val="20"/>
              </w:rPr>
              <w:t>12</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715DA0D1"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1830" w:type="dxa"/>
            <w:tcBorders>
              <w:bottom w:val="single" w:sz="8" w:space="0" w:color="000000"/>
              <w:right w:val="single" w:sz="8" w:space="0" w:color="000000"/>
            </w:tcBorders>
            <w:shd w:val="clear" w:color="auto" w:fill="auto"/>
            <w:tcMar>
              <w:top w:w="100" w:type="dxa"/>
              <w:left w:w="100" w:type="dxa"/>
              <w:bottom w:w="100" w:type="dxa"/>
              <w:right w:w="100" w:type="dxa"/>
            </w:tcMar>
          </w:tcPr>
          <w:p w14:paraId="2FEF5F53" w14:textId="77777777" w:rsidR="00501FB8" w:rsidRDefault="00F63BB8">
            <w:pPr>
              <w:spacing w:line="276" w:lineRule="auto"/>
              <w:jc w:val="center"/>
              <w:rPr>
                <w:rFonts w:eastAsia="Arial" w:cs="Arial"/>
                <w:sz w:val="20"/>
                <w:szCs w:val="20"/>
              </w:rPr>
            </w:pPr>
            <w:r>
              <w:rPr>
                <w:rFonts w:eastAsia="Arial" w:cs="Arial"/>
                <w:sz w:val="20"/>
                <w:szCs w:val="20"/>
              </w:rPr>
              <w:t>15</w:t>
            </w:r>
          </w:p>
        </w:tc>
      </w:tr>
      <w:tr w:rsidR="00501FB8" w14:paraId="3585C8EE" w14:textId="77777777">
        <w:trPr>
          <w:trHeight w:val="4230"/>
        </w:trPr>
        <w:tc>
          <w:tcPr>
            <w:tcW w:w="16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ACB33A" w14:textId="77777777" w:rsidR="00501FB8" w:rsidRDefault="00F63BB8">
            <w:pPr>
              <w:spacing w:line="276" w:lineRule="auto"/>
              <w:jc w:val="center"/>
              <w:rPr>
                <w:rFonts w:eastAsia="Arial" w:cs="Arial"/>
                <w:sz w:val="20"/>
                <w:szCs w:val="20"/>
              </w:rPr>
            </w:pPr>
            <w:r>
              <w:rPr>
                <w:rFonts w:eastAsia="Arial" w:cs="Arial"/>
                <w:sz w:val="20"/>
                <w:szCs w:val="20"/>
              </w:rPr>
              <w:t>H. - Installations autorisées dont le rendement énergétique est supérieur ou égal à 0,70 et réalisant une valorisation énergétique des résidus à haut pouvoir calorifique qui sont issus des opérations de tri performants</w:t>
            </w:r>
          </w:p>
        </w:tc>
        <w:tc>
          <w:tcPr>
            <w:tcW w:w="1170" w:type="dxa"/>
            <w:tcBorders>
              <w:bottom w:val="single" w:sz="8" w:space="0" w:color="000000"/>
              <w:right w:val="single" w:sz="8" w:space="0" w:color="000000"/>
            </w:tcBorders>
            <w:shd w:val="clear" w:color="auto" w:fill="auto"/>
            <w:tcMar>
              <w:top w:w="100" w:type="dxa"/>
              <w:left w:w="100" w:type="dxa"/>
              <w:bottom w:w="100" w:type="dxa"/>
              <w:right w:w="100" w:type="dxa"/>
            </w:tcMar>
          </w:tcPr>
          <w:p w14:paraId="38649B5A"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675" w:type="dxa"/>
            <w:tcBorders>
              <w:bottom w:val="single" w:sz="8" w:space="0" w:color="000000"/>
              <w:right w:val="single" w:sz="8" w:space="0" w:color="000000"/>
            </w:tcBorders>
            <w:shd w:val="clear" w:color="auto" w:fill="auto"/>
            <w:tcMar>
              <w:top w:w="100" w:type="dxa"/>
              <w:left w:w="100" w:type="dxa"/>
              <w:bottom w:w="100" w:type="dxa"/>
              <w:right w:w="100" w:type="dxa"/>
            </w:tcMar>
          </w:tcPr>
          <w:p w14:paraId="06A8991A" w14:textId="77777777" w:rsidR="00501FB8" w:rsidRDefault="00F63BB8">
            <w:pPr>
              <w:spacing w:line="276" w:lineRule="auto"/>
              <w:jc w:val="center"/>
              <w:rPr>
                <w:rFonts w:eastAsia="Arial" w:cs="Arial"/>
                <w:sz w:val="20"/>
                <w:szCs w:val="20"/>
              </w:rPr>
            </w:pPr>
            <w:r>
              <w:rPr>
                <w:rFonts w:eastAsia="Arial" w:cs="Arial"/>
                <w:sz w:val="20"/>
                <w:szCs w:val="20"/>
              </w:rPr>
              <w:t>4</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0D061FEA" w14:textId="77777777" w:rsidR="00501FB8" w:rsidRDefault="00F63BB8">
            <w:pPr>
              <w:spacing w:line="276" w:lineRule="auto"/>
              <w:jc w:val="center"/>
              <w:rPr>
                <w:rFonts w:eastAsia="Arial" w:cs="Arial"/>
                <w:sz w:val="20"/>
                <w:szCs w:val="20"/>
              </w:rPr>
            </w:pPr>
            <w:r>
              <w:rPr>
                <w:rFonts w:eastAsia="Arial" w:cs="Arial"/>
                <w:sz w:val="20"/>
                <w:szCs w:val="20"/>
              </w:rPr>
              <w:t>4</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3F030097" w14:textId="77777777" w:rsidR="00501FB8" w:rsidRDefault="00F63BB8">
            <w:pPr>
              <w:spacing w:line="276" w:lineRule="auto"/>
              <w:jc w:val="center"/>
              <w:rPr>
                <w:rFonts w:eastAsia="Arial" w:cs="Arial"/>
                <w:sz w:val="20"/>
                <w:szCs w:val="20"/>
              </w:rPr>
            </w:pPr>
            <w:r>
              <w:rPr>
                <w:rFonts w:eastAsia="Arial" w:cs="Arial"/>
                <w:sz w:val="20"/>
                <w:szCs w:val="20"/>
              </w:rPr>
              <w:t>5,5</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713A7D9D" w14:textId="77777777" w:rsidR="00501FB8" w:rsidRDefault="00F63BB8">
            <w:pPr>
              <w:spacing w:line="276" w:lineRule="auto"/>
              <w:jc w:val="center"/>
              <w:rPr>
                <w:rFonts w:eastAsia="Arial" w:cs="Arial"/>
                <w:sz w:val="20"/>
                <w:szCs w:val="20"/>
              </w:rPr>
            </w:pPr>
            <w:r>
              <w:rPr>
                <w:rFonts w:eastAsia="Arial" w:cs="Arial"/>
                <w:sz w:val="20"/>
                <w:szCs w:val="20"/>
              </w:rPr>
              <w:t>6</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6BF1EB4A" w14:textId="77777777" w:rsidR="00501FB8" w:rsidRDefault="00F63BB8">
            <w:pPr>
              <w:spacing w:line="276" w:lineRule="auto"/>
              <w:jc w:val="center"/>
              <w:rPr>
                <w:rFonts w:eastAsia="Arial" w:cs="Arial"/>
                <w:sz w:val="20"/>
                <w:szCs w:val="20"/>
              </w:rPr>
            </w:pPr>
            <w:r>
              <w:rPr>
                <w:rFonts w:eastAsia="Arial" w:cs="Arial"/>
                <w:sz w:val="20"/>
                <w:szCs w:val="20"/>
              </w:rPr>
              <w:t>7</w:t>
            </w:r>
          </w:p>
        </w:tc>
        <w:tc>
          <w:tcPr>
            <w:tcW w:w="1830" w:type="dxa"/>
            <w:tcBorders>
              <w:bottom w:val="single" w:sz="8" w:space="0" w:color="000000"/>
              <w:right w:val="single" w:sz="8" w:space="0" w:color="000000"/>
            </w:tcBorders>
            <w:shd w:val="clear" w:color="auto" w:fill="auto"/>
            <w:tcMar>
              <w:top w:w="100" w:type="dxa"/>
              <w:left w:w="100" w:type="dxa"/>
              <w:bottom w:w="100" w:type="dxa"/>
              <w:right w:w="100" w:type="dxa"/>
            </w:tcMar>
          </w:tcPr>
          <w:p w14:paraId="3ADC6E71" w14:textId="77777777" w:rsidR="00501FB8" w:rsidRDefault="00F63BB8">
            <w:pPr>
              <w:spacing w:line="276" w:lineRule="auto"/>
              <w:jc w:val="center"/>
              <w:rPr>
                <w:rFonts w:eastAsia="Arial" w:cs="Arial"/>
                <w:sz w:val="20"/>
                <w:szCs w:val="20"/>
              </w:rPr>
            </w:pPr>
            <w:r>
              <w:rPr>
                <w:rFonts w:eastAsia="Arial" w:cs="Arial"/>
                <w:sz w:val="20"/>
                <w:szCs w:val="20"/>
              </w:rPr>
              <w:t>7,5</w:t>
            </w:r>
          </w:p>
        </w:tc>
      </w:tr>
      <w:tr w:rsidR="00501FB8" w14:paraId="219CF1B6" w14:textId="77777777">
        <w:trPr>
          <w:trHeight w:val="1005"/>
        </w:trPr>
        <w:tc>
          <w:tcPr>
            <w:tcW w:w="16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A312B" w14:textId="77777777" w:rsidR="00501FB8" w:rsidRDefault="00F63BB8">
            <w:pPr>
              <w:spacing w:line="276" w:lineRule="auto"/>
              <w:jc w:val="center"/>
              <w:rPr>
                <w:rFonts w:eastAsia="Arial" w:cs="Arial"/>
                <w:sz w:val="20"/>
                <w:szCs w:val="20"/>
              </w:rPr>
            </w:pPr>
            <w:r>
              <w:rPr>
                <w:rFonts w:eastAsia="Arial" w:cs="Arial"/>
                <w:sz w:val="20"/>
                <w:szCs w:val="20"/>
              </w:rPr>
              <w:t>I. - Autres installations autorisées</w:t>
            </w:r>
          </w:p>
        </w:tc>
        <w:tc>
          <w:tcPr>
            <w:tcW w:w="1170" w:type="dxa"/>
            <w:tcBorders>
              <w:bottom w:val="single" w:sz="8" w:space="0" w:color="000000"/>
              <w:right w:val="single" w:sz="8" w:space="0" w:color="000000"/>
            </w:tcBorders>
            <w:shd w:val="clear" w:color="auto" w:fill="auto"/>
            <w:tcMar>
              <w:top w:w="100" w:type="dxa"/>
              <w:left w:w="100" w:type="dxa"/>
              <w:bottom w:w="100" w:type="dxa"/>
              <w:right w:w="100" w:type="dxa"/>
            </w:tcMar>
          </w:tcPr>
          <w:p w14:paraId="32BD2F3D"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675" w:type="dxa"/>
            <w:tcBorders>
              <w:bottom w:val="single" w:sz="8" w:space="0" w:color="000000"/>
              <w:right w:val="single" w:sz="8" w:space="0" w:color="000000"/>
            </w:tcBorders>
            <w:shd w:val="clear" w:color="auto" w:fill="auto"/>
            <w:tcMar>
              <w:top w:w="100" w:type="dxa"/>
              <w:left w:w="100" w:type="dxa"/>
              <w:bottom w:w="100" w:type="dxa"/>
              <w:right w:w="100" w:type="dxa"/>
            </w:tcMar>
          </w:tcPr>
          <w:p w14:paraId="1ECA113A" w14:textId="77777777" w:rsidR="00501FB8" w:rsidRDefault="00F63BB8">
            <w:pPr>
              <w:spacing w:line="276" w:lineRule="auto"/>
              <w:jc w:val="center"/>
              <w:rPr>
                <w:rFonts w:eastAsia="Arial" w:cs="Arial"/>
                <w:sz w:val="20"/>
                <w:szCs w:val="20"/>
              </w:rPr>
            </w:pPr>
            <w:r>
              <w:rPr>
                <w:rFonts w:eastAsia="Arial" w:cs="Arial"/>
                <w:sz w:val="20"/>
                <w:szCs w:val="20"/>
              </w:rPr>
              <w:t>15</w:t>
            </w:r>
          </w:p>
        </w:tc>
        <w:tc>
          <w:tcPr>
            <w:tcW w:w="705" w:type="dxa"/>
            <w:tcBorders>
              <w:bottom w:val="single" w:sz="8" w:space="0" w:color="000000"/>
              <w:right w:val="single" w:sz="8" w:space="0" w:color="000000"/>
            </w:tcBorders>
            <w:shd w:val="clear" w:color="auto" w:fill="auto"/>
            <w:tcMar>
              <w:top w:w="100" w:type="dxa"/>
              <w:left w:w="100" w:type="dxa"/>
              <w:bottom w:w="100" w:type="dxa"/>
              <w:right w:w="100" w:type="dxa"/>
            </w:tcMar>
          </w:tcPr>
          <w:p w14:paraId="49039E49" w14:textId="77777777" w:rsidR="00501FB8" w:rsidRDefault="00F63BB8">
            <w:pPr>
              <w:spacing w:line="276" w:lineRule="auto"/>
              <w:jc w:val="center"/>
              <w:rPr>
                <w:rFonts w:eastAsia="Arial" w:cs="Arial"/>
                <w:sz w:val="20"/>
                <w:szCs w:val="20"/>
              </w:rPr>
            </w:pPr>
            <w:r>
              <w:rPr>
                <w:rFonts w:eastAsia="Arial" w:cs="Arial"/>
                <w:sz w:val="20"/>
                <w:szCs w:val="20"/>
              </w:rPr>
              <w:t>20</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2ADC238C" w14:textId="77777777" w:rsidR="00501FB8" w:rsidRDefault="00F63BB8">
            <w:pPr>
              <w:spacing w:line="276" w:lineRule="auto"/>
              <w:jc w:val="center"/>
              <w:rPr>
                <w:rFonts w:eastAsia="Arial" w:cs="Arial"/>
                <w:sz w:val="20"/>
                <w:szCs w:val="20"/>
              </w:rPr>
            </w:pPr>
            <w:r>
              <w:rPr>
                <w:rFonts w:eastAsia="Arial" w:cs="Arial"/>
                <w:sz w:val="20"/>
                <w:szCs w:val="20"/>
              </w:rPr>
              <w:t>22</w:t>
            </w:r>
          </w:p>
        </w:tc>
        <w:tc>
          <w:tcPr>
            <w:tcW w:w="840" w:type="dxa"/>
            <w:tcBorders>
              <w:bottom w:val="single" w:sz="8" w:space="0" w:color="000000"/>
              <w:right w:val="single" w:sz="8" w:space="0" w:color="000000"/>
            </w:tcBorders>
            <w:shd w:val="clear" w:color="auto" w:fill="auto"/>
            <w:tcMar>
              <w:top w:w="100" w:type="dxa"/>
              <w:left w:w="100" w:type="dxa"/>
              <w:bottom w:w="100" w:type="dxa"/>
              <w:right w:w="100" w:type="dxa"/>
            </w:tcMar>
          </w:tcPr>
          <w:p w14:paraId="5A4C8135" w14:textId="77777777" w:rsidR="00501FB8" w:rsidRDefault="00F63BB8">
            <w:pPr>
              <w:spacing w:line="276" w:lineRule="auto"/>
              <w:jc w:val="center"/>
              <w:rPr>
                <w:rFonts w:eastAsia="Arial" w:cs="Arial"/>
                <w:sz w:val="20"/>
                <w:szCs w:val="20"/>
              </w:rPr>
            </w:pPr>
            <w:r>
              <w:rPr>
                <w:rFonts w:eastAsia="Arial" w:cs="Arial"/>
                <w:sz w:val="20"/>
                <w:szCs w:val="20"/>
              </w:rPr>
              <w:t>23</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4405B5CE" w14:textId="77777777" w:rsidR="00501FB8" w:rsidRDefault="00F63BB8">
            <w:pPr>
              <w:spacing w:line="276" w:lineRule="auto"/>
              <w:jc w:val="center"/>
              <w:rPr>
                <w:rFonts w:eastAsia="Arial" w:cs="Arial"/>
                <w:sz w:val="20"/>
                <w:szCs w:val="20"/>
              </w:rPr>
            </w:pPr>
            <w:r>
              <w:rPr>
                <w:rFonts w:eastAsia="Arial" w:cs="Arial"/>
                <w:sz w:val="20"/>
                <w:szCs w:val="20"/>
              </w:rPr>
              <w:t>24</w:t>
            </w:r>
          </w:p>
        </w:tc>
        <w:tc>
          <w:tcPr>
            <w:tcW w:w="1830" w:type="dxa"/>
            <w:tcBorders>
              <w:bottom w:val="single" w:sz="8" w:space="0" w:color="000000"/>
              <w:right w:val="single" w:sz="8" w:space="0" w:color="000000"/>
            </w:tcBorders>
            <w:shd w:val="clear" w:color="auto" w:fill="auto"/>
            <w:tcMar>
              <w:top w:w="100" w:type="dxa"/>
              <w:left w:w="100" w:type="dxa"/>
              <w:bottom w:w="100" w:type="dxa"/>
              <w:right w:w="100" w:type="dxa"/>
            </w:tcMar>
          </w:tcPr>
          <w:p w14:paraId="2A1C7ABA" w14:textId="77777777" w:rsidR="00501FB8" w:rsidRDefault="00F63BB8">
            <w:pPr>
              <w:spacing w:line="276" w:lineRule="auto"/>
              <w:jc w:val="center"/>
              <w:rPr>
                <w:rFonts w:eastAsia="Arial" w:cs="Arial"/>
                <w:sz w:val="20"/>
                <w:szCs w:val="20"/>
              </w:rPr>
            </w:pPr>
            <w:r>
              <w:rPr>
                <w:rFonts w:eastAsia="Arial" w:cs="Arial"/>
                <w:sz w:val="20"/>
                <w:szCs w:val="20"/>
              </w:rPr>
              <w:t>25</w:t>
            </w:r>
          </w:p>
        </w:tc>
      </w:tr>
    </w:tbl>
    <w:p w14:paraId="1CF1992D" w14:textId="77777777" w:rsidR="00501FB8" w:rsidRDefault="00501FB8">
      <w:pPr>
        <w:spacing w:line="276" w:lineRule="auto"/>
        <w:jc w:val="center"/>
        <w:rPr>
          <w:rFonts w:eastAsia="Arial" w:cs="Arial"/>
          <w:szCs w:val="22"/>
        </w:rPr>
      </w:pPr>
    </w:p>
    <w:p w14:paraId="7B8E26D1" w14:textId="77777777" w:rsidR="00501FB8" w:rsidRDefault="00501FB8">
      <w:pPr>
        <w:jc w:val="center"/>
        <w:rPr>
          <w:rFonts w:eastAsia="Arial" w:cs="Arial"/>
          <w:b/>
          <w:szCs w:val="22"/>
          <w:u w:val="single"/>
        </w:rPr>
      </w:pPr>
    </w:p>
    <w:p w14:paraId="1774071B" w14:textId="77777777" w:rsidR="00501FB8" w:rsidRDefault="00F63BB8" w:rsidP="00DC248C">
      <w:pPr>
        <w:rPr>
          <w:rFonts w:eastAsia="Arial"/>
        </w:rPr>
      </w:pPr>
      <w:bookmarkStart w:id="36" w:name="_heading=h.22zwmfcllqnj" w:colFirst="0" w:colLast="0"/>
      <w:bookmarkStart w:id="37" w:name="_Toc65685576"/>
      <w:bookmarkEnd w:id="36"/>
      <w:r>
        <w:rPr>
          <w:rFonts w:eastAsia="Arial"/>
        </w:rPr>
        <w:t>III. La perte de recettes pour l’État est compensée, à due concurrence, par la création d’une taxe additionnelle aux droits prévus aux articles 575 et 575 A du code général des impôts</w:t>
      </w:r>
      <w:bookmarkEnd w:id="37"/>
    </w:p>
    <w:p w14:paraId="59414EEE" w14:textId="77777777" w:rsidR="00501FB8" w:rsidRDefault="00501FB8">
      <w:pPr>
        <w:rPr>
          <w:szCs w:val="22"/>
        </w:rPr>
      </w:pPr>
    </w:p>
    <w:p w14:paraId="397DDC2D" w14:textId="2369DFF6" w:rsidR="00501FB8" w:rsidRPr="00F46E87" w:rsidRDefault="00F46E87">
      <w:pPr>
        <w:jc w:val="center"/>
        <w:rPr>
          <w:rFonts w:eastAsia="Arial" w:cs="Arial"/>
          <w:b/>
          <w:szCs w:val="22"/>
        </w:rPr>
      </w:pPr>
      <w:r w:rsidRPr="00F46E87">
        <w:rPr>
          <w:rFonts w:eastAsia="Arial" w:cs="Arial"/>
          <w:b/>
          <w:szCs w:val="22"/>
        </w:rPr>
        <w:t>Exposé sommaire</w:t>
      </w:r>
    </w:p>
    <w:p w14:paraId="2C746A6A" w14:textId="77777777" w:rsidR="00501FB8" w:rsidRDefault="00501FB8">
      <w:pPr>
        <w:spacing w:line="276" w:lineRule="auto"/>
        <w:jc w:val="both"/>
        <w:rPr>
          <w:rFonts w:eastAsia="Arial" w:cs="Arial"/>
          <w:szCs w:val="22"/>
        </w:rPr>
      </w:pPr>
    </w:p>
    <w:p w14:paraId="0923239A" w14:textId="77777777" w:rsidR="00501FB8" w:rsidRDefault="00F63BB8">
      <w:pPr>
        <w:spacing w:line="276" w:lineRule="auto"/>
        <w:jc w:val="both"/>
        <w:rPr>
          <w:rFonts w:eastAsia="Arial" w:cs="Arial"/>
          <w:szCs w:val="22"/>
        </w:rPr>
      </w:pPr>
      <w:r>
        <w:rPr>
          <w:rFonts w:eastAsia="Arial" w:cs="Arial"/>
          <w:szCs w:val="22"/>
        </w:rPr>
        <w:t>Cet amendement vise à reporter d’un an l’augmentation de la TGAP issue de la loi de finances pour 2019. Bien que la volonté de mettre un signal prix sur l’élimination des déchets pour favoriser le recyclage soit positive, cette réforme passe à côté de son objet et entraîne simplement une hausse des taxes payées par les collectivités pour la gestion des déchets (qui représentent 25% du coût du service public). En effet, cette hausse devait être compensée par les mesures de la Feuille de route économie circulaire traduites dans la loi AGEC (nouvelles filières de recyclage, renforcement des filières existantes…). Or à ce jour, les décrets d’application se font toujours attendre et les collectivités vont devoir assumer une hausse fiscale sans les mesures leur permettant d’agir sur le gisement.</w:t>
      </w:r>
    </w:p>
    <w:p w14:paraId="24197C2D" w14:textId="77777777" w:rsidR="00501FB8" w:rsidRDefault="00501FB8">
      <w:pPr>
        <w:spacing w:line="276" w:lineRule="auto"/>
        <w:jc w:val="both"/>
        <w:rPr>
          <w:rFonts w:eastAsia="Arial" w:cs="Arial"/>
          <w:szCs w:val="22"/>
        </w:rPr>
      </w:pPr>
    </w:p>
    <w:p w14:paraId="00BD8ACA" w14:textId="77777777" w:rsidR="00501FB8" w:rsidRDefault="00F63BB8">
      <w:pPr>
        <w:spacing w:line="276" w:lineRule="auto"/>
        <w:jc w:val="both"/>
        <w:rPr>
          <w:rFonts w:eastAsia="Arial" w:cs="Arial"/>
          <w:szCs w:val="22"/>
        </w:rPr>
      </w:pPr>
      <w:r>
        <w:rPr>
          <w:rFonts w:eastAsia="Arial" w:cs="Arial"/>
          <w:szCs w:val="22"/>
        </w:rPr>
        <w:t>Dans le même temps, les collectivités territoriales en charge du service public de gestion des déchets ont été fortement mobilisées pendant la crise sanitaire pour continuer à assurer la gestion des déchets des Français tout en garantissant la sécurité des agents et des usagers. Elles ont déployé des efforts considérables, qui ont été salués à juste titre par le gouvernement, pour assurer ce service public essentiel dans des conditions difficiles</w:t>
      </w:r>
    </w:p>
    <w:p w14:paraId="028222F4" w14:textId="77777777" w:rsidR="00501FB8" w:rsidRDefault="00F63BB8">
      <w:pPr>
        <w:spacing w:line="276" w:lineRule="auto"/>
        <w:jc w:val="both"/>
        <w:rPr>
          <w:rFonts w:eastAsia="Arial" w:cs="Arial"/>
          <w:szCs w:val="22"/>
        </w:rPr>
      </w:pPr>
      <w:r>
        <w:rPr>
          <w:rFonts w:eastAsia="Arial" w:cs="Arial"/>
          <w:szCs w:val="22"/>
        </w:rPr>
        <w:lastRenderedPageBreak/>
        <w:t xml:space="preserve"> </w:t>
      </w:r>
    </w:p>
    <w:p w14:paraId="5583ADA0" w14:textId="77777777" w:rsidR="00501FB8" w:rsidRDefault="00F63BB8">
      <w:pPr>
        <w:spacing w:line="276" w:lineRule="auto"/>
        <w:jc w:val="both"/>
        <w:rPr>
          <w:rFonts w:eastAsia="Arial" w:cs="Arial"/>
          <w:szCs w:val="22"/>
        </w:rPr>
      </w:pPr>
      <w:r>
        <w:rPr>
          <w:rFonts w:eastAsia="Arial" w:cs="Arial"/>
          <w:szCs w:val="22"/>
        </w:rPr>
        <w:t>Dans ce contexte, les collectivités ont mis en place des mesures exceptionnelles pour assurer la sécurité des agents du service public, ce qui a pu conduire à suspendre ou à réduire certaines activités (déchèteries, centre de tri...). Les collectivités ont également dû faire face à la suspension des activités de certains éco-organismes (meubles, déchets dangereux) et à l’arrêt de certaines filières de reprise (textiles). Les mesures mises en place pour assurer la sécurité des agents tout en continuant d’assurer la collecte et le traitement des déchets des Français ont également entraîné des surcoûts opérationnels, qui conduisent notamment les opérateurs à demander des compensations financières aux collectivités, qui seront reportées sur la fiscalité locale.</w:t>
      </w:r>
    </w:p>
    <w:p w14:paraId="37A8C74D" w14:textId="77777777" w:rsidR="00501FB8" w:rsidRDefault="00501FB8">
      <w:pPr>
        <w:spacing w:line="276" w:lineRule="auto"/>
        <w:jc w:val="both"/>
        <w:rPr>
          <w:rFonts w:eastAsia="Arial" w:cs="Arial"/>
          <w:szCs w:val="22"/>
        </w:rPr>
      </w:pPr>
    </w:p>
    <w:p w14:paraId="567D1203" w14:textId="29DD8617" w:rsidR="00501FB8" w:rsidRDefault="00F63BB8" w:rsidP="00712FB0">
      <w:pPr>
        <w:spacing w:line="276" w:lineRule="auto"/>
        <w:jc w:val="both"/>
        <w:rPr>
          <w:rFonts w:eastAsia="Arial" w:cs="Arial"/>
          <w:b/>
          <w:color w:val="6EBC57"/>
          <w:sz w:val="28"/>
          <w:szCs w:val="28"/>
        </w:rPr>
      </w:pPr>
      <w:r>
        <w:rPr>
          <w:rFonts w:eastAsia="Arial" w:cs="Arial"/>
          <w:szCs w:val="22"/>
        </w:rPr>
        <w:t>Cette mesure serait un acte de solidarité nationale pour permettre aux collectivités de disposer des moyens nécessaires pour maintenir le cap du développement de l’économie circulaire, qui supposera d’importantes dépenses dans les années à venir. Elle permettrait également d’éviter que les collectivités soient sanctionnées financièrement en raison du retard pris par le gouvernement sur la publication des textes d’application de la loi AGEC, ainsi que pour les mesures qui ont été rendues nécessaires par la crise sanitaire. Une sanction financière qui serait par ailleurs répercutée sur le contribuable local.</w:t>
      </w:r>
      <w:r>
        <w:br w:type="page"/>
      </w:r>
    </w:p>
    <w:p w14:paraId="1728EC36" w14:textId="77777777" w:rsidR="00501FB8" w:rsidRDefault="00501FB8">
      <w:pPr>
        <w:jc w:val="center"/>
        <w:rPr>
          <w:rFonts w:eastAsia="Arial" w:cs="Arial"/>
          <w:b/>
          <w:color w:val="6EBC57"/>
          <w:sz w:val="28"/>
          <w:szCs w:val="28"/>
        </w:rPr>
      </w:pPr>
    </w:p>
    <w:p w14:paraId="28B657D6" w14:textId="6B7622E2" w:rsidR="00501FB8" w:rsidRPr="00F46E87" w:rsidRDefault="00F63BB8" w:rsidP="00F46E87">
      <w:pPr>
        <w:pStyle w:val="Sansinterligne"/>
        <w:rPr>
          <w:rFonts w:eastAsia="Arial" w:cs="Arial"/>
          <w:szCs w:val="22"/>
        </w:rPr>
      </w:pPr>
      <w:bookmarkStart w:id="38" w:name="_Toc65685023"/>
      <w:bookmarkStart w:id="39" w:name="_Toc65685664"/>
      <w:bookmarkStart w:id="40" w:name="_Toc65687442"/>
      <w:r>
        <w:rPr>
          <w:rFonts w:eastAsia="Arial" w:cs="Arial"/>
          <w:szCs w:val="22"/>
        </w:rPr>
        <w:t>Amendement n°8</w:t>
      </w:r>
      <w:r w:rsidR="00503E7B">
        <w:rPr>
          <w:rFonts w:eastAsia="Arial" w:cs="Arial"/>
          <w:szCs w:val="22"/>
        </w:rPr>
        <w:t xml:space="preserve"> </w:t>
      </w:r>
      <w:r w:rsidR="00F46E87">
        <w:rPr>
          <w:rFonts w:eastAsia="Arial" w:cs="Arial"/>
          <w:szCs w:val="22"/>
        </w:rPr>
        <w:t>(</w:t>
      </w:r>
      <w:r w:rsidR="00503E7B">
        <w:rPr>
          <w:rFonts w:eastAsia="Arial" w:cs="Arial"/>
          <w:szCs w:val="22"/>
        </w:rPr>
        <w:t>P</w:t>
      </w:r>
      <w:r>
        <w:rPr>
          <w:rFonts w:eastAsia="Arial" w:cs="Arial"/>
          <w:szCs w:val="22"/>
        </w:rPr>
        <w:t>rioritaire</w:t>
      </w:r>
      <w:r w:rsidR="00F46E87">
        <w:rPr>
          <w:rFonts w:eastAsia="Arial" w:cs="Arial"/>
          <w:szCs w:val="22"/>
        </w:rPr>
        <w:t xml:space="preserve">) - </w:t>
      </w:r>
      <w:r>
        <w:rPr>
          <w:rFonts w:eastAsia="Arial"/>
          <w:sz w:val="20"/>
          <w:szCs w:val="20"/>
        </w:rPr>
        <w:t>I</w:t>
      </w:r>
      <w:r>
        <w:rPr>
          <w:rFonts w:eastAsia="Arial"/>
        </w:rPr>
        <w:t>nstaurer une réfaction de TGAP liée à la performance des collectivités en matière d’économie circulaire</w:t>
      </w:r>
      <w:bookmarkEnd w:id="38"/>
      <w:bookmarkEnd w:id="39"/>
      <w:bookmarkEnd w:id="40"/>
    </w:p>
    <w:p w14:paraId="765475CC" w14:textId="77777777" w:rsidR="00501FB8" w:rsidRDefault="00501FB8">
      <w:pPr>
        <w:jc w:val="center"/>
        <w:rPr>
          <w:rFonts w:eastAsia="Arial" w:cs="Arial"/>
          <w:b/>
          <w:sz w:val="20"/>
          <w:szCs w:val="20"/>
        </w:rPr>
      </w:pPr>
    </w:p>
    <w:p w14:paraId="213807C6" w14:textId="77777777" w:rsidR="00501FB8" w:rsidRDefault="00F63BB8">
      <w:pPr>
        <w:spacing w:line="276" w:lineRule="auto"/>
        <w:jc w:val="center"/>
        <w:rPr>
          <w:rFonts w:eastAsia="Arial" w:cs="Arial"/>
          <w:szCs w:val="22"/>
        </w:rPr>
      </w:pPr>
      <w:r>
        <w:rPr>
          <w:rFonts w:eastAsia="Arial" w:cs="Arial"/>
          <w:szCs w:val="22"/>
        </w:rPr>
        <w:t>Présenté par</w:t>
      </w:r>
    </w:p>
    <w:p w14:paraId="7D8F09B9" w14:textId="77777777" w:rsidR="00501FB8" w:rsidRDefault="00F63BB8">
      <w:pPr>
        <w:spacing w:line="276" w:lineRule="auto"/>
        <w:jc w:val="center"/>
        <w:rPr>
          <w:rFonts w:eastAsia="Arial" w:cs="Arial"/>
          <w:b/>
          <w:szCs w:val="22"/>
        </w:rPr>
      </w:pPr>
      <w:r>
        <w:rPr>
          <w:rFonts w:eastAsia="Arial" w:cs="Arial"/>
          <w:szCs w:val="22"/>
        </w:rPr>
        <w:t>……...</w:t>
      </w:r>
    </w:p>
    <w:p w14:paraId="7374F364" w14:textId="77777777" w:rsidR="00501FB8" w:rsidRDefault="00501FB8">
      <w:pPr>
        <w:jc w:val="center"/>
        <w:rPr>
          <w:rFonts w:eastAsia="Arial" w:cs="Arial"/>
          <w:szCs w:val="22"/>
        </w:rPr>
      </w:pPr>
    </w:p>
    <w:p w14:paraId="68AA46D3" w14:textId="395503CC" w:rsidR="00501FB8" w:rsidRDefault="00503E7B">
      <w:pPr>
        <w:jc w:val="center"/>
        <w:rPr>
          <w:rFonts w:eastAsia="Arial" w:cs="Arial"/>
          <w:szCs w:val="22"/>
        </w:rPr>
      </w:pPr>
      <w:r>
        <w:rPr>
          <w:rFonts w:eastAsia="Arial" w:cs="Arial"/>
          <w:szCs w:val="22"/>
        </w:rPr>
        <w:t>A</w:t>
      </w:r>
      <w:r w:rsidR="00F63BB8">
        <w:rPr>
          <w:rFonts w:eastAsia="Arial" w:cs="Arial"/>
          <w:szCs w:val="22"/>
        </w:rPr>
        <w:t>rticle additionnel</w:t>
      </w:r>
    </w:p>
    <w:p w14:paraId="30727D2B" w14:textId="3BCCF90F" w:rsidR="00501FB8" w:rsidRDefault="00503E7B" w:rsidP="00503E7B">
      <w:pPr>
        <w:spacing w:line="276" w:lineRule="auto"/>
        <w:jc w:val="center"/>
        <w:rPr>
          <w:rFonts w:eastAsia="Arial" w:cs="Arial"/>
          <w:szCs w:val="22"/>
        </w:rPr>
      </w:pPr>
      <w:r>
        <w:rPr>
          <w:rFonts w:eastAsia="Arial" w:cs="Arial"/>
          <w:szCs w:val="22"/>
        </w:rPr>
        <w:t>A</w:t>
      </w:r>
      <w:r w:rsidR="00F63BB8">
        <w:rPr>
          <w:rFonts w:eastAsia="Arial" w:cs="Arial"/>
          <w:szCs w:val="22"/>
        </w:rPr>
        <w:t>près l’article 13</w:t>
      </w:r>
      <w:r>
        <w:rPr>
          <w:rFonts w:eastAsia="Arial" w:cs="Arial"/>
          <w:szCs w:val="22"/>
        </w:rPr>
        <w:t>, insérer un article supplémentaire ainsi rédigé :</w:t>
      </w:r>
    </w:p>
    <w:p w14:paraId="417B9029" w14:textId="77777777" w:rsidR="00503E7B" w:rsidRPr="00503E7B" w:rsidRDefault="00503E7B" w:rsidP="00503E7B">
      <w:pPr>
        <w:spacing w:line="276" w:lineRule="auto"/>
        <w:jc w:val="center"/>
        <w:rPr>
          <w:rFonts w:eastAsia="Arial" w:cs="Arial"/>
          <w:szCs w:val="22"/>
        </w:rPr>
      </w:pPr>
    </w:p>
    <w:p w14:paraId="20F16A3B" w14:textId="6ED7912E" w:rsidR="00501FB8" w:rsidRDefault="00501FB8">
      <w:pPr>
        <w:spacing w:line="276" w:lineRule="auto"/>
        <w:rPr>
          <w:rFonts w:eastAsia="Arial" w:cs="Arial"/>
          <w:szCs w:val="22"/>
        </w:rPr>
      </w:pPr>
    </w:p>
    <w:p w14:paraId="68852855" w14:textId="77777777" w:rsidR="00501FB8" w:rsidRDefault="00F63BB8">
      <w:pPr>
        <w:numPr>
          <w:ilvl w:val="0"/>
          <w:numId w:val="1"/>
        </w:numPr>
        <w:spacing w:after="240" w:line="276" w:lineRule="auto"/>
        <w:rPr>
          <w:rFonts w:eastAsia="Arial" w:cs="Arial"/>
          <w:sz w:val="20"/>
          <w:szCs w:val="20"/>
        </w:rPr>
      </w:pPr>
      <w:r>
        <w:rPr>
          <w:rFonts w:eastAsia="Arial" w:cs="Arial"/>
          <w:szCs w:val="22"/>
        </w:rPr>
        <w:t xml:space="preserve">Au A du 1 l’article 266 </w:t>
      </w:r>
      <w:proofErr w:type="spellStart"/>
      <w:r>
        <w:rPr>
          <w:rFonts w:eastAsia="Arial" w:cs="Arial"/>
          <w:szCs w:val="22"/>
        </w:rPr>
        <w:t>nonies</w:t>
      </w:r>
      <w:proofErr w:type="spellEnd"/>
      <w:r>
        <w:rPr>
          <w:rFonts w:eastAsia="Arial" w:cs="Arial"/>
          <w:szCs w:val="22"/>
        </w:rPr>
        <w:t xml:space="preserve"> du code des douanes, remplacer le tableau du a par le tableau suivant :</w:t>
      </w:r>
    </w:p>
    <w:p w14:paraId="576928FB" w14:textId="77777777" w:rsidR="00501FB8" w:rsidRDefault="00F63BB8">
      <w:pPr>
        <w:spacing w:line="276" w:lineRule="auto"/>
        <w:jc w:val="center"/>
        <w:rPr>
          <w:rFonts w:eastAsia="Arial" w:cs="Arial"/>
          <w:szCs w:val="22"/>
        </w:rPr>
      </w:pPr>
      <w:r>
        <w:rPr>
          <w:rFonts w:eastAsia="Arial" w:cs="Arial"/>
          <w:szCs w:val="22"/>
        </w:rPr>
        <w:t xml:space="preserve"> </w:t>
      </w:r>
    </w:p>
    <w:tbl>
      <w:tblPr>
        <w:tblStyle w:val="a1"/>
        <w:tblW w:w="841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65"/>
        <w:gridCol w:w="975"/>
        <w:gridCol w:w="1035"/>
        <w:gridCol w:w="855"/>
        <w:gridCol w:w="1005"/>
        <w:gridCol w:w="2280"/>
      </w:tblGrid>
      <w:tr w:rsidR="00501FB8" w14:paraId="479B6C36" w14:textId="77777777">
        <w:trPr>
          <w:trHeight w:val="960"/>
        </w:trPr>
        <w:tc>
          <w:tcPr>
            <w:tcW w:w="226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618CB" w14:textId="77777777" w:rsidR="00501FB8" w:rsidRDefault="00F63BB8">
            <w:pPr>
              <w:spacing w:line="276" w:lineRule="auto"/>
              <w:jc w:val="center"/>
              <w:rPr>
                <w:rFonts w:eastAsia="Arial" w:cs="Arial"/>
                <w:sz w:val="20"/>
                <w:szCs w:val="20"/>
              </w:rPr>
            </w:pPr>
            <w:r>
              <w:rPr>
                <w:rFonts w:eastAsia="Arial" w:cs="Arial"/>
                <w:sz w:val="20"/>
                <w:szCs w:val="20"/>
              </w:rPr>
              <w:t>Désignation des installations de stockage de déchets non dangereux concernées</w:t>
            </w:r>
          </w:p>
        </w:tc>
        <w:tc>
          <w:tcPr>
            <w:tcW w:w="975" w:type="dxa"/>
            <w:vMerge w:val="restart"/>
            <w:tcBorders>
              <w:top w:val="single" w:sz="8" w:space="0" w:color="000000"/>
              <w:bottom w:val="single" w:sz="8" w:space="0" w:color="000000"/>
              <w:right w:val="single" w:sz="8" w:space="0" w:color="000000"/>
            </w:tcBorders>
            <w:tcMar>
              <w:top w:w="100" w:type="dxa"/>
              <w:left w:w="100" w:type="dxa"/>
              <w:bottom w:w="100" w:type="dxa"/>
              <w:right w:w="100" w:type="dxa"/>
            </w:tcMar>
          </w:tcPr>
          <w:p w14:paraId="1A022E5E" w14:textId="77777777" w:rsidR="00501FB8" w:rsidRDefault="00F63BB8">
            <w:pPr>
              <w:spacing w:line="276" w:lineRule="auto"/>
              <w:jc w:val="center"/>
              <w:rPr>
                <w:rFonts w:eastAsia="Arial" w:cs="Arial"/>
                <w:sz w:val="20"/>
                <w:szCs w:val="20"/>
              </w:rPr>
            </w:pPr>
            <w:r>
              <w:rPr>
                <w:rFonts w:eastAsia="Arial" w:cs="Arial"/>
                <w:sz w:val="20"/>
                <w:szCs w:val="20"/>
              </w:rPr>
              <w:t>Unité de perception</w:t>
            </w:r>
          </w:p>
        </w:tc>
        <w:tc>
          <w:tcPr>
            <w:tcW w:w="5175" w:type="dxa"/>
            <w:gridSpan w:val="4"/>
            <w:tcBorders>
              <w:top w:val="single" w:sz="8" w:space="0" w:color="000000"/>
              <w:left w:val="single" w:sz="8" w:space="0" w:color="000000"/>
              <w:bottom w:val="single" w:sz="8" w:space="0" w:color="000000"/>
            </w:tcBorders>
            <w:tcMar>
              <w:top w:w="20" w:type="dxa"/>
              <w:left w:w="20" w:type="dxa"/>
              <w:bottom w:w="20" w:type="dxa"/>
              <w:right w:w="20" w:type="dxa"/>
            </w:tcMar>
          </w:tcPr>
          <w:p w14:paraId="60B9811F" w14:textId="77777777" w:rsidR="00501FB8" w:rsidRDefault="00F63BB8">
            <w:pPr>
              <w:spacing w:line="276" w:lineRule="auto"/>
              <w:jc w:val="center"/>
              <w:rPr>
                <w:rFonts w:eastAsia="Arial" w:cs="Arial"/>
                <w:b/>
                <w:sz w:val="20"/>
                <w:szCs w:val="20"/>
              </w:rPr>
            </w:pPr>
            <w:r>
              <w:rPr>
                <w:rFonts w:eastAsia="Arial" w:cs="Arial"/>
                <w:b/>
                <w:sz w:val="20"/>
                <w:szCs w:val="20"/>
              </w:rPr>
              <w:t>Quotité en euros</w:t>
            </w:r>
          </w:p>
        </w:tc>
      </w:tr>
      <w:tr w:rsidR="00501FB8" w14:paraId="6FB7744D" w14:textId="77777777">
        <w:trPr>
          <w:trHeight w:val="1095"/>
        </w:trPr>
        <w:tc>
          <w:tcPr>
            <w:tcW w:w="226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0932750" w14:textId="77777777" w:rsidR="00501FB8" w:rsidRDefault="00501FB8">
            <w:pPr>
              <w:widowControl w:val="0"/>
              <w:spacing w:line="276" w:lineRule="auto"/>
              <w:rPr>
                <w:rFonts w:eastAsia="Arial" w:cs="Arial"/>
                <w:sz w:val="20"/>
                <w:szCs w:val="20"/>
              </w:rPr>
            </w:pPr>
          </w:p>
        </w:tc>
        <w:tc>
          <w:tcPr>
            <w:tcW w:w="97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857FDC9" w14:textId="77777777" w:rsidR="00501FB8" w:rsidRDefault="00501FB8">
            <w:pPr>
              <w:widowControl w:val="0"/>
              <w:spacing w:line="276" w:lineRule="auto"/>
              <w:rPr>
                <w:rFonts w:eastAsia="Arial" w:cs="Arial"/>
                <w:sz w:val="20"/>
                <w:szCs w:val="20"/>
              </w:rPr>
            </w:pP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02AFB3B5" w14:textId="77777777" w:rsidR="00501FB8" w:rsidRDefault="00F63BB8">
            <w:pPr>
              <w:spacing w:line="276" w:lineRule="auto"/>
              <w:jc w:val="center"/>
              <w:rPr>
                <w:rFonts w:eastAsia="Arial" w:cs="Arial"/>
                <w:b/>
                <w:sz w:val="20"/>
                <w:szCs w:val="20"/>
              </w:rPr>
            </w:pPr>
            <w:r>
              <w:rPr>
                <w:rFonts w:eastAsia="Arial" w:cs="Arial"/>
                <w:b/>
                <w:sz w:val="20"/>
                <w:szCs w:val="20"/>
              </w:rPr>
              <w:t>2022</w:t>
            </w: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298DD643" w14:textId="77777777" w:rsidR="00501FB8" w:rsidRDefault="00F63BB8">
            <w:pPr>
              <w:spacing w:line="276" w:lineRule="auto"/>
              <w:jc w:val="center"/>
              <w:rPr>
                <w:rFonts w:eastAsia="Arial" w:cs="Arial"/>
                <w:b/>
                <w:sz w:val="20"/>
                <w:szCs w:val="20"/>
              </w:rPr>
            </w:pPr>
            <w:r>
              <w:rPr>
                <w:rFonts w:eastAsia="Arial" w:cs="Arial"/>
                <w:b/>
                <w:sz w:val="20"/>
                <w:szCs w:val="20"/>
              </w:rPr>
              <w:t>2023</w:t>
            </w:r>
          </w:p>
        </w:tc>
        <w:tc>
          <w:tcPr>
            <w:tcW w:w="1005" w:type="dxa"/>
            <w:tcBorders>
              <w:bottom w:val="single" w:sz="8" w:space="0" w:color="000000"/>
              <w:right w:val="single" w:sz="8" w:space="0" w:color="000000"/>
            </w:tcBorders>
            <w:shd w:val="clear" w:color="auto" w:fill="auto"/>
            <w:tcMar>
              <w:top w:w="100" w:type="dxa"/>
              <w:left w:w="100" w:type="dxa"/>
              <w:bottom w:w="100" w:type="dxa"/>
              <w:right w:w="100" w:type="dxa"/>
            </w:tcMar>
          </w:tcPr>
          <w:p w14:paraId="416181F6" w14:textId="77777777" w:rsidR="00501FB8" w:rsidRDefault="00F63BB8">
            <w:pPr>
              <w:spacing w:line="276" w:lineRule="auto"/>
              <w:jc w:val="center"/>
              <w:rPr>
                <w:rFonts w:eastAsia="Arial" w:cs="Arial"/>
                <w:b/>
                <w:sz w:val="20"/>
                <w:szCs w:val="20"/>
              </w:rPr>
            </w:pPr>
            <w:r>
              <w:rPr>
                <w:rFonts w:eastAsia="Arial" w:cs="Arial"/>
                <w:b/>
                <w:sz w:val="20"/>
                <w:szCs w:val="20"/>
              </w:rPr>
              <w:t>2024</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14:paraId="54C39EFF" w14:textId="77777777" w:rsidR="00501FB8" w:rsidRDefault="00F63BB8">
            <w:pPr>
              <w:spacing w:line="276" w:lineRule="auto"/>
              <w:jc w:val="center"/>
              <w:rPr>
                <w:rFonts w:eastAsia="Arial" w:cs="Arial"/>
                <w:b/>
                <w:sz w:val="20"/>
                <w:szCs w:val="20"/>
              </w:rPr>
            </w:pPr>
            <w:r>
              <w:rPr>
                <w:rFonts w:eastAsia="Arial" w:cs="Arial"/>
                <w:b/>
                <w:sz w:val="20"/>
                <w:szCs w:val="20"/>
              </w:rPr>
              <w:t>A partir de 2025</w:t>
            </w:r>
          </w:p>
        </w:tc>
      </w:tr>
      <w:tr w:rsidR="00501FB8" w14:paraId="36CD0EEC" w14:textId="77777777">
        <w:trPr>
          <w:trHeight w:val="2055"/>
        </w:trPr>
        <w:tc>
          <w:tcPr>
            <w:tcW w:w="22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59BBE" w14:textId="77777777" w:rsidR="00501FB8" w:rsidRDefault="00F63BB8">
            <w:pPr>
              <w:spacing w:line="276" w:lineRule="auto"/>
              <w:jc w:val="center"/>
              <w:rPr>
                <w:rFonts w:eastAsia="Arial" w:cs="Arial"/>
                <w:sz w:val="20"/>
                <w:szCs w:val="20"/>
              </w:rPr>
            </w:pPr>
            <w:r>
              <w:rPr>
                <w:rFonts w:eastAsia="Arial" w:cs="Arial"/>
                <w:sz w:val="20"/>
                <w:szCs w:val="20"/>
              </w:rPr>
              <w:t>B. - Installations autorisées réalisant une valorisation énergétique de plus de 75% du biogaz capté</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4864A5E9"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583DA60C" w14:textId="77777777" w:rsidR="00501FB8" w:rsidRDefault="00F63BB8">
            <w:pPr>
              <w:spacing w:line="276" w:lineRule="auto"/>
              <w:jc w:val="center"/>
              <w:rPr>
                <w:rFonts w:eastAsia="Arial" w:cs="Arial"/>
                <w:sz w:val="20"/>
                <w:szCs w:val="20"/>
              </w:rPr>
            </w:pPr>
            <w:r>
              <w:rPr>
                <w:rFonts w:eastAsia="Arial" w:cs="Arial"/>
                <w:sz w:val="20"/>
                <w:szCs w:val="20"/>
              </w:rPr>
              <w:t>45</w:t>
            </w: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5018025C" w14:textId="77777777" w:rsidR="00501FB8" w:rsidRDefault="00F63BB8">
            <w:pPr>
              <w:spacing w:line="276" w:lineRule="auto"/>
              <w:jc w:val="center"/>
              <w:rPr>
                <w:rFonts w:eastAsia="Arial" w:cs="Arial"/>
                <w:sz w:val="20"/>
                <w:szCs w:val="20"/>
              </w:rPr>
            </w:pPr>
            <w:r>
              <w:rPr>
                <w:rFonts w:eastAsia="Arial" w:cs="Arial"/>
                <w:sz w:val="20"/>
                <w:szCs w:val="20"/>
              </w:rPr>
              <w:t>52</w:t>
            </w:r>
          </w:p>
        </w:tc>
        <w:tc>
          <w:tcPr>
            <w:tcW w:w="1005" w:type="dxa"/>
            <w:tcBorders>
              <w:bottom w:val="single" w:sz="8" w:space="0" w:color="000000"/>
              <w:right w:val="single" w:sz="8" w:space="0" w:color="000000"/>
            </w:tcBorders>
            <w:shd w:val="clear" w:color="auto" w:fill="auto"/>
            <w:tcMar>
              <w:top w:w="100" w:type="dxa"/>
              <w:left w:w="100" w:type="dxa"/>
              <w:bottom w:w="100" w:type="dxa"/>
              <w:right w:w="100" w:type="dxa"/>
            </w:tcMar>
          </w:tcPr>
          <w:p w14:paraId="441F61C2" w14:textId="77777777" w:rsidR="00501FB8" w:rsidRDefault="00F63BB8">
            <w:pPr>
              <w:spacing w:line="276" w:lineRule="auto"/>
              <w:jc w:val="center"/>
              <w:rPr>
                <w:rFonts w:eastAsia="Arial" w:cs="Arial"/>
                <w:sz w:val="20"/>
                <w:szCs w:val="20"/>
              </w:rPr>
            </w:pPr>
            <w:r>
              <w:rPr>
                <w:rFonts w:eastAsia="Arial" w:cs="Arial"/>
                <w:sz w:val="20"/>
                <w:szCs w:val="20"/>
              </w:rPr>
              <w:t>59</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14:paraId="02F61D42" w14:textId="77777777" w:rsidR="00501FB8" w:rsidRDefault="00F63BB8">
            <w:pPr>
              <w:spacing w:line="276" w:lineRule="auto"/>
              <w:jc w:val="center"/>
              <w:rPr>
                <w:rFonts w:eastAsia="Arial" w:cs="Arial"/>
                <w:sz w:val="20"/>
                <w:szCs w:val="20"/>
              </w:rPr>
            </w:pPr>
            <w:r>
              <w:rPr>
                <w:rFonts w:eastAsia="Arial" w:cs="Arial"/>
                <w:sz w:val="20"/>
                <w:szCs w:val="20"/>
              </w:rPr>
              <w:t>65</w:t>
            </w:r>
          </w:p>
        </w:tc>
      </w:tr>
      <w:tr w:rsidR="00501FB8" w14:paraId="3AA3CE22" w14:textId="77777777">
        <w:trPr>
          <w:trHeight w:val="3105"/>
        </w:trPr>
        <w:tc>
          <w:tcPr>
            <w:tcW w:w="22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C23213" w14:textId="77777777" w:rsidR="00501FB8" w:rsidRDefault="00F63BB8">
            <w:pPr>
              <w:spacing w:line="276" w:lineRule="auto"/>
              <w:jc w:val="center"/>
              <w:rPr>
                <w:rFonts w:eastAsia="Arial" w:cs="Arial"/>
                <w:sz w:val="20"/>
                <w:szCs w:val="20"/>
              </w:rPr>
            </w:pPr>
            <w:r>
              <w:rPr>
                <w:rFonts w:eastAsia="Arial" w:cs="Arial"/>
                <w:sz w:val="20"/>
                <w:szCs w:val="20"/>
              </w:rPr>
              <w:t>C. - Installations autorisées qui sont exploitées selon la méthode du bioréacteur et réalisent une valorisation énergétique du biogaz capté</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7C07F889"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58D6A6DD" w14:textId="77777777" w:rsidR="00501FB8" w:rsidRDefault="00F63BB8">
            <w:pPr>
              <w:spacing w:line="276" w:lineRule="auto"/>
              <w:jc w:val="center"/>
              <w:rPr>
                <w:rFonts w:eastAsia="Arial" w:cs="Arial"/>
                <w:sz w:val="20"/>
                <w:szCs w:val="20"/>
              </w:rPr>
            </w:pPr>
            <w:r>
              <w:rPr>
                <w:rFonts w:eastAsia="Arial" w:cs="Arial"/>
                <w:sz w:val="20"/>
                <w:szCs w:val="20"/>
              </w:rPr>
              <w:t>53</w:t>
            </w: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3DCC594E" w14:textId="77777777" w:rsidR="00501FB8" w:rsidRDefault="00F63BB8">
            <w:pPr>
              <w:spacing w:line="276" w:lineRule="auto"/>
              <w:jc w:val="center"/>
              <w:rPr>
                <w:rFonts w:eastAsia="Arial" w:cs="Arial"/>
                <w:sz w:val="20"/>
                <w:szCs w:val="20"/>
              </w:rPr>
            </w:pPr>
            <w:r>
              <w:rPr>
                <w:rFonts w:eastAsia="Arial" w:cs="Arial"/>
                <w:sz w:val="20"/>
                <w:szCs w:val="20"/>
              </w:rPr>
              <w:t>58</w:t>
            </w:r>
          </w:p>
        </w:tc>
        <w:tc>
          <w:tcPr>
            <w:tcW w:w="1005" w:type="dxa"/>
            <w:tcBorders>
              <w:bottom w:val="single" w:sz="8" w:space="0" w:color="000000"/>
              <w:right w:val="single" w:sz="8" w:space="0" w:color="000000"/>
            </w:tcBorders>
            <w:shd w:val="clear" w:color="auto" w:fill="auto"/>
            <w:tcMar>
              <w:top w:w="100" w:type="dxa"/>
              <w:left w:w="100" w:type="dxa"/>
              <w:bottom w:w="100" w:type="dxa"/>
              <w:right w:w="100" w:type="dxa"/>
            </w:tcMar>
          </w:tcPr>
          <w:p w14:paraId="638AEA30" w14:textId="77777777" w:rsidR="00501FB8" w:rsidRDefault="00F63BB8">
            <w:pPr>
              <w:spacing w:line="276" w:lineRule="auto"/>
              <w:jc w:val="center"/>
              <w:rPr>
                <w:rFonts w:eastAsia="Arial" w:cs="Arial"/>
                <w:sz w:val="20"/>
                <w:szCs w:val="20"/>
              </w:rPr>
            </w:pPr>
            <w:r>
              <w:rPr>
                <w:rFonts w:eastAsia="Arial" w:cs="Arial"/>
                <w:sz w:val="20"/>
                <w:szCs w:val="20"/>
              </w:rPr>
              <w:t>61</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14:paraId="63472002" w14:textId="77777777" w:rsidR="00501FB8" w:rsidRDefault="00F63BB8">
            <w:pPr>
              <w:spacing w:line="276" w:lineRule="auto"/>
              <w:jc w:val="center"/>
              <w:rPr>
                <w:rFonts w:eastAsia="Arial" w:cs="Arial"/>
                <w:sz w:val="20"/>
                <w:szCs w:val="20"/>
              </w:rPr>
            </w:pPr>
            <w:r>
              <w:rPr>
                <w:rFonts w:eastAsia="Arial" w:cs="Arial"/>
                <w:sz w:val="20"/>
                <w:szCs w:val="20"/>
              </w:rPr>
              <w:t>65</w:t>
            </w:r>
          </w:p>
        </w:tc>
      </w:tr>
      <w:tr w:rsidR="00501FB8" w14:paraId="52556F88" w14:textId="77777777">
        <w:trPr>
          <w:trHeight w:val="3330"/>
        </w:trPr>
        <w:tc>
          <w:tcPr>
            <w:tcW w:w="22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27CD49" w14:textId="77777777" w:rsidR="00501FB8" w:rsidRDefault="00F63BB8">
            <w:pPr>
              <w:spacing w:line="276" w:lineRule="auto"/>
              <w:jc w:val="center"/>
              <w:rPr>
                <w:rFonts w:eastAsia="Arial" w:cs="Arial"/>
                <w:sz w:val="20"/>
                <w:szCs w:val="20"/>
              </w:rPr>
            </w:pPr>
            <w:r>
              <w:rPr>
                <w:rFonts w:eastAsia="Arial" w:cs="Arial"/>
                <w:sz w:val="20"/>
                <w:szCs w:val="20"/>
              </w:rPr>
              <w:lastRenderedPageBreak/>
              <w:t>D. - Installations autorisées réceptionnant des déchets provenant d’un établissement public de coopération intercommunale ou de son groupement ou d’une entreprise, performant en matière de gestion des déchets</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46FB48AE"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312008EA" w14:textId="77777777" w:rsidR="00501FB8" w:rsidRDefault="00F63BB8">
            <w:pPr>
              <w:spacing w:line="276" w:lineRule="auto"/>
              <w:jc w:val="center"/>
              <w:rPr>
                <w:rFonts w:eastAsia="Arial" w:cs="Arial"/>
                <w:sz w:val="20"/>
                <w:szCs w:val="20"/>
              </w:rPr>
            </w:pPr>
            <w:r>
              <w:rPr>
                <w:rFonts w:eastAsia="Arial" w:cs="Arial"/>
                <w:sz w:val="20"/>
                <w:szCs w:val="20"/>
              </w:rPr>
              <w:t>43</w:t>
            </w: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3502BA59" w14:textId="77777777" w:rsidR="00501FB8" w:rsidRDefault="00F63BB8">
            <w:pPr>
              <w:spacing w:line="276" w:lineRule="auto"/>
              <w:jc w:val="center"/>
              <w:rPr>
                <w:rFonts w:eastAsia="Arial" w:cs="Arial"/>
                <w:sz w:val="20"/>
                <w:szCs w:val="20"/>
              </w:rPr>
            </w:pPr>
            <w:r>
              <w:rPr>
                <w:rFonts w:eastAsia="Arial" w:cs="Arial"/>
                <w:sz w:val="20"/>
                <w:szCs w:val="20"/>
              </w:rPr>
              <w:t>46</w:t>
            </w:r>
          </w:p>
        </w:tc>
        <w:tc>
          <w:tcPr>
            <w:tcW w:w="1005" w:type="dxa"/>
            <w:tcBorders>
              <w:bottom w:val="single" w:sz="8" w:space="0" w:color="000000"/>
              <w:right w:val="single" w:sz="8" w:space="0" w:color="000000"/>
            </w:tcBorders>
            <w:shd w:val="clear" w:color="auto" w:fill="auto"/>
            <w:tcMar>
              <w:top w:w="100" w:type="dxa"/>
              <w:left w:w="100" w:type="dxa"/>
              <w:bottom w:w="100" w:type="dxa"/>
              <w:right w:w="100" w:type="dxa"/>
            </w:tcMar>
          </w:tcPr>
          <w:p w14:paraId="44B3AACB" w14:textId="77777777" w:rsidR="00501FB8" w:rsidRDefault="00F63BB8">
            <w:pPr>
              <w:spacing w:line="276" w:lineRule="auto"/>
              <w:jc w:val="center"/>
              <w:rPr>
                <w:rFonts w:eastAsia="Arial" w:cs="Arial"/>
                <w:sz w:val="20"/>
                <w:szCs w:val="20"/>
              </w:rPr>
            </w:pPr>
            <w:r>
              <w:rPr>
                <w:rFonts w:eastAsia="Arial" w:cs="Arial"/>
                <w:sz w:val="20"/>
                <w:szCs w:val="20"/>
              </w:rPr>
              <w:t>48</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14:paraId="3BAC0C02" w14:textId="77777777" w:rsidR="00501FB8" w:rsidRDefault="00F63BB8">
            <w:pPr>
              <w:spacing w:line="276" w:lineRule="auto"/>
              <w:jc w:val="center"/>
              <w:rPr>
                <w:rFonts w:eastAsia="Arial" w:cs="Arial"/>
                <w:sz w:val="20"/>
                <w:szCs w:val="20"/>
              </w:rPr>
            </w:pPr>
            <w:r>
              <w:rPr>
                <w:rFonts w:eastAsia="Arial" w:cs="Arial"/>
                <w:sz w:val="20"/>
                <w:szCs w:val="20"/>
              </w:rPr>
              <w:t>50</w:t>
            </w:r>
          </w:p>
        </w:tc>
      </w:tr>
      <w:tr w:rsidR="00501FB8" w14:paraId="0CC9B03E" w14:textId="77777777">
        <w:trPr>
          <w:trHeight w:val="1260"/>
        </w:trPr>
        <w:tc>
          <w:tcPr>
            <w:tcW w:w="22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4A733" w14:textId="77777777" w:rsidR="00501FB8" w:rsidRDefault="00F63BB8">
            <w:pPr>
              <w:spacing w:line="276" w:lineRule="auto"/>
              <w:jc w:val="center"/>
              <w:rPr>
                <w:rFonts w:eastAsia="Arial" w:cs="Arial"/>
                <w:sz w:val="20"/>
                <w:szCs w:val="20"/>
              </w:rPr>
            </w:pPr>
            <w:r>
              <w:rPr>
                <w:rFonts w:eastAsia="Arial" w:cs="Arial"/>
                <w:sz w:val="20"/>
                <w:szCs w:val="20"/>
              </w:rPr>
              <w:t>E. - Installations autorisées relevant à la fois des B et C</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71AF0D7E"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63A57CED" w14:textId="77777777" w:rsidR="00501FB8" w:rsidRDefault="00F63BB8">
            <w:pPr>
              <w:spacing w:line="276" w:lineRule="auto"/>
              <w:jc w:val="center"/>
              <w:rPr>
                <w:rFonts w:eastAsia="Arial" w:cs="Arial"/>
                <w:sz w:val="20"/>
                <w:szCs w:val="20"/>
              </w:rPr>
            </w:pPr>
            <w:r>
              <w:rPr>
                <w:rFonts w:eastAsia="Arial" w:cs="Arial"/>
                <w:sz w:val="20"/>
                <w:szCs w:val="20"/>
              </w:rPr>
              <w:t>40</w:t>
            </w: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5EB68E80" w14:textId="77777777" w:rsidR="00501FB8" w:rsidRDefault="00F63BB8">
            <w:pPr>
              <w:spacing w:line="276" w:lineRule="auto"/>
              <w:jc w:val="center"/>
              <w:rPr>
                <w:rFonts w:eastAsia="Arial" w:cs="Arial"/>
                <w:sz w:val="20"/>
                <w:szCs w:val="20"/>
              </w:rPr>
            </w:pPr>
            <w:r>
              <w:rPr>
                <w:rFonts w:eastAsia="Arial" w:cs="Arial"/>
                <w:sz w:val="20"/>
                <w:szCs w:val="20"/>
              </w:rPr>
              <w:t>51</w:t>
            </w:r>
          </w:p>
        </w:tc>
        <w:tc>
          <w:tcPr>
            <w:tcW w:w="1005" w:type="dxa"/>
            <w:tcBorders>
              <w:bottom w:val="single" w:sz="8" w:space="0" w:color="000000"/>
              <w:right w:val="single" w:sz="8" w:space="0" w:color="000000"/>
            </w:tcBorders>
            <w:shd w:val="clear" w:color="auto" w:fill="auto"/>
            <w:tcMar>
              <w:top w:w="100" w:type="dxa"/>
              <w:left w:w="100" w:type="dxa"/>
              <w:bottom w:w="100" w:type="dxa"/>
              <w:right w:w="100" w:type="dxa"/>
            </w:tcMar>
          </w:tcPr>
          <w:p w14:paraId="1C85AEC0" w14:textId="77777777" w:rsidR="00501FB8" w:rsidRDefault="00F63BB8">
            <w:pPr>
              <w:spacing w:line="276" w:lineRule="auto"/>
              <w:jc w:val="center"/>
              <w:rPr>
                <w:rFonts w:eastAsia="Arial" w:cs="Arial"/>
                <w:sz w:val="20"/>
                <w:szCs w:val="20"/>
              </w:rPr>
            </w:pPr>
            <w:r>
              <w:rPr>
                <w:rFonts w:eastAsia="Arial" w:cs="Arial"/>
                <w:sz w:val="20"/>
                <w:szCs w:val="20"/>
              </w:rPr>
              <w:t>58</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14:paraId="4F8DC4F4" w14:textId="77777777" w:rsidR="00501FB8" w:rsidRDefault="00F63BB8">
            <w:pPr>
              <w:spacing w:line="276" w:lineRule="auto"/>
              <w:jc w:val="center"/>
              <w:rPr>
                <w:rFonts w:eastAsia="Arial" w:cs="Arial"/>
                <w:sz w:val="20"/>
                <w:szCs w:val="20"/>
              </w:rPr>
            </w:pPr>
            <w:r>
              <w:rPr>
                <w:rFonts w:eastAsia="Arial" w:cs="Arial"/>
                <w:sz w:val="20"/>
                <w:szCs w:val="20"/>
              </w:rPr>
              <w:t>65</w:t>
            </w:r>
          </w:p>
        </w:tc>
      </w:tr>
      <w:tr w:rsidR="00501FB8" w14:paraId="0FB1897A" w14:textId="77777777">
        <w:trPr>
          <w:trHeight w:val="1530"/>
        </w:trPr>
        <w:tc>
          <w:tcPr>
            <w:tcW w:w="22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7AE7B5" w14:textId="77777777" w:rsidR="00501FB8" w:rsidRDefault="00F63BB8">
            <w:pPr>
              <w:spacing w:line="276" w:lineRule="auto"/>
              <w:jc w:val="center"/>
              <w:rPr>
                <w:rFonts w:eastAsia="Arial" w:cs="Arial"/>
                <w:sz w:val="20"/>
                <w:szCs w:val="20"/>
              </w:rPr>
            </w:pPr>
            <w:r>
              <w:rPr>
                <w:rFonts w:eastAsia="Arial" w:cs="Arial"/>
                <w:sz w:val="20"/>
                <w:szCs w:val="20"/>
              </w:rPr>
              <w:t>F. - Installations autorisées relevant à la fois des B et D ou des C et D</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7617D288"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0AF4AC10" w14:textId="77777777" w:rsidR="00501FB8" w:rsidRDefault="00F63BB8">
            <w:pPr>
              <w:spacing w:line="276" w:lineRule="auto"/>
              <w:jc w:val="center"/>
              <w:rPr>
                <w:rFonts w:eastAsia="Arial" w:cs="Arial"/>
                <w:sz w:val="20"/>
                <w:szCs w:val="20"/>
              </w:rPr>
            </w:pPr>
            <w:r>
              <w:rPr>
                <w:rFonts w:eastAsia="Arial" w:cs="Arial"/>
                <w:sz w:val="20"/>
                <w:szCs w:val="20"/>
              </w:rPr>
              <w:t>36</w:t>
            </w: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677990A4" w14:textId="77777777" w:rsidR="00501FB8" w:rsidRDefault="00F63BB8">
            <w:pPr>
              <w:spacing w:line="276" w:lineRule="auto"/>
              <w:jc w:val="center"/>
              <w:rPr>
                <w:rFonts w:eastAsia="Arial" w:cs="Arial"/>
                <w:sz w:val="20"/>
                <w:szCs w:val="20"/>
              </w:rPr>
            </w:pPr>
            <w:r>
              <w:rPr>
                <w:rFonts w:eastAsia="Arial" w:cs="Arial"/>
                <w:sz w:val="20"/>
                <w:szCs w:val="20"/>
              </w:rPr>
              <w:t>40</w:t>
            </w:r>
          </w:p>
        </w:tc>
        <w:tc>
          <w:tcPr>
            <w:tcW w:w="1005" w:type="dxa"/>
            <w:tcBorders>
              <w:bottom w:val="single" w:sz="8" w:space="0" w:color="000000"/>
              <w:right w:val="single" w:sz="8" w:space="0" w:color="000000"/>
            </w:tcBorders>
            <w:shd w:val="clear" w:color="auto" w:fill="auto"/>
            <w:tcMar>
              <w:top w:w="100" w:type="dxa"/>
              <w:left w:w="100" w:type="dxa"/>
              <w:bottom w:w="100" w:type="dxa"/>
              <w:right w:w="100" w:type="dxa"/>
            </w:tcMar>
          </w:tcPr>
          <w:p w14:paraId="3DAED193" w14:textId="77777777" w:rsidR="00501FB8" w:rsidRDefault="00F63BB8">
            <w:pPr>
              <w:spacing w:line="276" w:lineRule="auto"/>
              <w:jc w:val="center"/>
              <w:rPr>
                <w:rFonts w:eastAsia="Arial" w:cs="Arial"/>
                <w:sz w:val="20"/>
                <w:szCs w:val="20"/>
              </w:rPr>
            </w:pPr>
            <w:r>
              <w:rPr>
                <w:rFonts w:eastAsia="Arial" w:cs="Arial"/>
                <w:sz w:val="20"/>
                <w:szCs w:val="20"/>
              </w:rPr>
              <w:t>44</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14:paraId="76AAC0C0" w14:textId="77777777" w:rsidR="00501FB8" w:rsidRDefault="00F63BB8">
            <w:pPr>
              <w:spacing w:line="276" w:lineRule="auto"/>
              <w:jc w:val="center"/>
              <w:rPr>
                <w:rFonts w:eastAsia="Arial" w:cs="Arial"/>
                <w:sz w:val="20"/>
                <w:szCs w:val="20"/>
              </w:rPr>
            </w:pPr>
            <w:r>
              <w:rPr>
                <w:rFonts w:eastAsia="Arial" w:cs="Arial"/>
                <w:sz w:val="20"/>
                <w:szCs w:val="20"/>
              </w:rPr>
              <w:t>50</w:t>
            </w:r>
          </w:p>
        </w:tc>
      </w:tr>
      <w:tr w:rsidR="00501FB8" w14:paraId="37E0B61E" w14:textId="77777777">
        <w:trPr>
          <w:trHeight w:val="930"/>
        </w:trPr>
        <w:tc>
          <w:tcPr>
            <w:tcW w:w="22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3CD63" w14:textId="77777777" w:rsidR="00501FB8" w:rsidRDefault="00F63BB8">
            <w:pPr>
              <w:spacing w:line="276" w:lineRule="auto"/>
              <w:jc w:val="center"/>
              <w:rPr>
                <w:rFonts w:eastAsia="Arial" w:cs="Arial"/>
                <w:sz w:val="20"/>
                <w:szCs w:val="20"/>
              </w:rPr>
            </w:pPr>
            <w:r>
              <w:rPr>
                <w:rFonts w:eastAsia="Arial" w:cs="Arial"/>
                <w:sz w:val="20"/>
                <w:szCs w:val="20"/>
              </w:rPr>
              <w:t>G. - Installations autorisées relevant à la fois des B, C et D</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2C1B0E0E"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24F706AE" w14:textId="77777777" w:rsidR="00501FB8" w:rsidRDefault="00F63BB8">
            <w:pPr>
              <w:spacing w:line="276" w:lineRule="auto"/>
              <w:jc w:val="center"/>
              <w:rPr>
                <w:rFonts w:eastAsia="Arial" w:cs="Arial"/>
                <w:sz w:val="20"/>
                <w:szCs w:val="20"/>
              </w:rPr>
            </w:pPr>
            <w:r>
              <w:rPr>
                <w:rFonts w:eastAsia="Arial" w:cs="Arial"/>
                <w:sz w:val="20"/>
                <w:szCs w:val="20"/>
              </w:rPr>
              <w:t>33</w:t>
            </w: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33C801A6" w14:textId="77777777" w:rsidR="00501FB8" w:rsidRDefault="00F63BB8">
            <w:pPr>
              <w:spacing w:line="276" w:lineRule="auto"/>
              <w:jc w:val="center"/>
              <w:rPr>
                <w:rFonts w:eastAsia="Arial" w:cs="Arial"/>
                <w:sz w:val="20"/>
                <w:szCs w:val="20"/>
              </w:rPr>
            </w:pPr>
            <w:r>
              <w:rPr>
                <w:rFonts w:eastAsia="Arial" w:cs="Arial"/>
                <w:sz w:val="20"/>
                <w:szCs w:val="20"/>
              </w:rPr>
              <w:t>36</w:t>
            </w:r>
          </w:p>
        </w:tc>
        <w:tc>
          <w:tcPr>
            <w:tcW w:w="1005" w:type="dxa"/>
            <w:tcBorders>
              <w:bottom w:val="single" w:sz="8" w:space="0" w:color="000000"/>
              <w:right w:val="single" w:sz="8" w:space="0" w:color="000000"/>
            </w:tcBorders>
            <w:shd w:val="clear" w:color="auto" w:fill="auto"/>
            <w:tcMar>
              <w:top w:w="100" w:type="dxa"/>
              <w:left w:w="100" w:type="dxa"/>
              <w:bottom w:w="100" w:type="dxa"/>
              <w:right w:w="100" w:type="dxa"/>
            </w:tcMar>
          </w:tcPr>
          <w:p w14:paraId="1AF41F3D" w14:textId="77777777" w:rsidR="00501FB8" w:rsidRDefault="00F63BB8">
            <w:pPr>
              <w:spacing w:line="276" w:lineRule="auto"/>
              <w:jc w:val="center"/>
              <w:rPr>
                <w:rFonts w:eastAsia="Arial" w:cs="Arial"/>
                <w:sz w:val="20"/>
                <w:szCs w:val="20"/>
              </w:rPr>
            </w:pPr>
            <w:r>
              <w:rPr>
                <w:rFonts w:eastAsia="Arial" w:cs="Arial"/>
                <w:sz w:val="20"/>
                <w:szCs w:val="20"/>
              </w:rPr>
              <w:t>44</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14:paraId="225F2A26" w14:textId="77777777" w:rsidR="00501FB8" w:rsidRDefault="00F63BB8">
            <w:pPr>
              <w:spacing w:line="276" w:lineRule="auto"/>
              <w:jc w:val="center"/>
              <w:rPr>
                <w:rFonts w:eastAsia="Arial" w:cs="Arial"/>
                <w:sz w:val="20"/>
                <w:szCs w:val="20"/>
              </w:rPr>
            </w:pPr>
            <w:r>
              <w:rPr>
                <w:rFonts w:eastAsia="Arial" w:cs="Arial"/>
                <w:sz w:val="20"/>
                <w:szCs w:val="20"/>
              </w:rPr>
              <w:t>50</w:t>
            </w:r>
          </w:p>
        </w:tc>
      </w:tr>
      <w:tr w:rsidR="00501FB8" w14:paraId="7D1CDD15" w14:textId="77777777">
        <w:trPr>
          <w:trHeight w:val="795"/>
        </w:trPr>
        <w:tc>
          <w:tcPr>
            <w:tcW w:w="22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B76D39" w14:textId="77777777" w:rsidR="00501FB8" w:rsidRDefault="00F63BB8">
            <w:pPr>
              <w:spacing w:line="276" w:lineRule="auto"/>
              <w:jc w:val="center"/>
              <w:rPr>
                <w:rFonts w:eastAsia="Arial" w:cs="Arial"/>
                <w:sz w:val="20"/>
                <w:szCs w:val="20"/>
              </w:rPr>
            </w:pPr>
            <w:r>
              <w:rPr>
                <w:rFonts w:eastAsia="Arial" w:cs="Arial"/>
                <w:sz w:val="20"/>
                <w:szCs w:val="20"/>
              </w:rPr>
              <w:t>H. - Autres installations autorisées</w:t>
            </w:r>
          </w:p>
        </w:tc>
        <w:tc>
          <w:tcPr>
            <w:tcW w:w="975" w:type="dxa"/>
            <w:tcBorders>
              <w:bottom w:val="single" w:sz="8" w:space="0" w:color="000000"/>
              <w:right w:val="single" w:sz="8" w:space="0" w:color="000000"/>
            </w:tcBorders>
            <w:shd w:val="clear" w:color="auto" w:fill="auto"/>
            <w:tcMar>
              <w:top w:w="100" w:type="dxa"/>
              <w:left w:w="100" w:type="dxa"/>
              <w:bottom w:w="100" w:type="dxa"/>
              <w:right w:w="100" w:type="dxa"/>
            </w:tcMar>
          </w:tcPr>
          <w:p w14:paraId="11E5F2C2"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1035" w:type="dxa"/>
            <w:tcBorders>
              <w:bottom w:val="single" w:sz="8" w:space="0" w:color="000000"/>
              <w:right w:val="single" w:sz="8" w:space="0" w:color="000000"/>
            </w:tcBorders>
            <w:shd w:val="clear" w:color="auto" w:fill="auto"/>
            <w:tcMar>
              <w:top w:w="100" w:type="dxa"/>
              <w:left w:w="100" w:type="dxa"/>
              <w:bottom w:w="100" w:type="dxa"/>
              <w:right w:w="100" w:type="dxa"/>
            </w:tcMar>
          </w:tcPr>
          <w:p w14:paraId="3D9EC828" w14:textId="77777777" w:rsidR="00501FB8" w:rsidRDefault="00F63BB8">
            <w:pPr>
              <w:spacing w:line="276" w:lineRule="auto"/>
              <w:jc w:val="center"/>
              <w:rPr>
                <w:rFonts w:eastAsia="Arial" w:cs="Arial"/>
                <w:sz w:val="20"/>
                <w:szCs w:val="20"/>
              </w:rPr>
            </w:pPr>
            <w:r>
              <w:rPr>
                <w:rFonts w:eastAsia="Arial" w:cs="Arial"/>
                <w:sz w:val="20"/>
                <w:szCs w:val="20"/>
              </w:rPr>
              <w:t>58</w:t>
            </w:r>
          </w:p>
        </w:tc>
        <w:tc>
          <w:tcPr>
            <w:tcW w:w="855" w:type="dxa"/>
            <w:tcBorders>
              <w:bottom w:val="single" w:sz="8" w:space="0" w:color="000000"/>
              <w:right w:val="single" w:sz="8" w:space="0" w:color="000000"/>
            </w:tcBorders>
            <w:shd w:val="clear" w:color="auto" w:fill="auto"/>
            <w:tcMar>
              <w:top w:w="100" w:type="dxa"/>
              <w:left w:w="100" w:type="dxa"/>
              <w:bottom w:w="100" w:type="dxa"/>
              <w:right w:w="100" w:type="dxa"/>
            </w:tcMar>
          </w:tcPr>
          <w:p w14:paraId="0F716B8B" w14:textId="77777777" w:rsidR="00501FB8" w:rsidRDefault="00F63BB8">
            <w:pPr>
              <w:spacing w:line="276" w:lineRule="auto"/>
              <w:jc w:val="center"/>
              <w:rPr>
                <w:rFonts w:eastAsia="Arial" w:cs="Arial"/>
                <w:sz w:val="20"/>
                <w:szCs w:val="20"/>
              </w:rPr>
            </w:pPr>
            <w:r>
              <w:rPr>
                <w:rFonts w:eastAsia="Arial" w:cs="Arial"/>
                <w:sz w:val="20"/>
                <w:szCs w:val="20"/>
              </w:rPr>
              <w:t>61</w:t>
            </w:r>
          </w:p>
        </w:tc>
        <w:tc>
          <w:tcPr>
            <w:tcW w:w="1005" w:type="dxa"/>
            <w:tcBorders>
              <w:bottom w:val="single" w:sz="8" w:space="0" w:color="000000"/>
              <w:right w:val="single" w:sz="8" w:space="0" w:color="000000"/>
            </w:tcBorders>
            <w:shd w:val="clear" w:color="auto" w:fill="auto"/>
            <w:tcMar>
              <w:top w:w="100" w:type="dxa"/>
              <w:left w:w="100" w:type="dxa"/>
              <w:bottom w:w="100" w:type="dxa"/>
              <w:right w:w="100" w:type="dxa"/>
            </w:tcMar>
          </w:tcPr>
          <w:p w14:paraId="0D377224" w14:textId="77777777" w:rsidR="00501FB8" w:rsidRDefault="00F63BB8">
            <w:pPr>
              <w:spacing w:line="276" w:lineRule="auto"/>
              <w:jc w:val="center"/>
              <w:rPr>
                <w:rFonts w:eastAsia="Arial" w:cs="Arial"/>
                <w:sz w:val="20"/>
                <w:szCs w:val="20"/>
              </w:rPr>
            </w:pPr>
            <w:r>
              <w:rPr>
                <w:rFonts w:eastAsia="Arial" w:cs="Arial"/>
                <w:sz w:val="20"/>
                <w:szCs w:val="20"/>
              </w:rPr>
              <w:t>63</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14:paraId="23227CDD" w14:textId="77777777" w:rsidR="00501FB8" w:rsidRDefault="00F63BB8">
            <w:pPr>
              <w:spacing w:line="276" w:lineRule="auto"/>
              <w:jc w:val="center"/>
              <w:rPr>
                <w:rFonts w:eastAsia="Arial" w:cs="Arial"/>
                <w:sz w:val="20"/>
                <w:szCs w:val="20"/>
              </w:rPr>
            </w:pPr>
            <w:r>
              <w:rPr>
                <w:rFonts w:eastAsia="Arial" w:cs="Arial"/>
                <w:sz w:val="20"/>
                <w:szCs w:val="20"/>
              </w:rPr>
              <w:t>65</w:t>
            </w:r>
          </w:p>
        </w:tc>
      </w:tr>
    </w:tbl>
    <w:p w14:paraId="575A74AD" w14:textId="77777777" w:rsidR="00501FB8" w:rsidRDefault="00F63BB8">
      <w:pPr>
        <w:spacing w:after="240" w:line="276" w:lineRule="auto"/>
        <w:jc w:val="center"/>
        <w:rPr>
          <w:rFonts w:eastAsia="Arial" w:cs="Arial"/>
          <w:sz w:val="20"/>
          <w:szCs w:val="20"/>
        </w:rPr>
      </w:pPr>
      <w:r>
        <w:rPr>
          <w:rFonts w:eastAsia="Arial" w:cs="Arial"/>
          <w:sz w:val="20"/>
          <w:szCs w:val="20"/>
        </w:rPr>
        <w:t xml:space="preserve"> </w:t>
      </w:r>
    </w:p>
    <w:p w14:paraId="443AE90A" w14:textId="77777777" w:rsidR="00501FB8" w:rsidRDefault="00F63BB8">
      <w:pPr>
        <w:spacing w:line="276" w:lineRule="auto"/>
        <w:jc w:val="both"/>
        <w:rPr>
          <w:rFonts w:eastAsia="Arial" w:cs="Arial"/>
          <w:sz w:val="20"/>
          <w:szCs w:val="20"/>
        </w:rPr>
      </w:pPr>
      <w:r>
        <w:rPr>
          <w:rFonts w:eastAsia="Arial" w:cs="Arial"/>
          <w:sz w:val="20"/>
          <w:szCs w:val="20"/>
        </w:rPr>
        <w:t xml:space="preserve">II. Au A du 1 l’article 266 </w:t>
      </w:r>
      <w:proofErr w:type="spellStart"/>
      <w:r>
        <w:rPr>
          <w:rFonts w:eastAsia="Arial" w:cs="Arial"/>
          <w:sz w:val="20"/>
          <w:szCs w:val="20"/>
        </w:rPr>
        <w:t>nonies</w:t>
      </w:r>
      <w:proofErr w:type="spellEnd"/>
      <w:r>
        <w:rPr>
          <w:rFonts w:eastAsia="Arial" w:cs="Arial"/>
          <w:sz w:val="20"/>
          <w:szCs w:val="20"/>
        </w:rPr>
        <w:t xml:space="preserve"> du code des douanes, remplacer le tableau du b) par le tableau suivant :</w:t>
      </w:r>
    </w:p>
    <w:p w14:paraId="230AF675" w14:textId="77777777" w:rsidR="00501FB8" w:rsidRDefault="00F63BB8">
      <w:pPr>
        <w:spacing w:after="240" w:line="276" w:lineRule="auto"/>
        <w:jc w:val="center"/>
        <w:rPr>
          <w:rFonts w:eastAsia="Arial" w:cs="Arial"/>
          <w:sz w:val="20"/>
          <w:szCs w:val="20"/>
        </w:rPr>
      </w:pPr>
      <w:r>
        <w:rPr>
          <w:rFonts w:eastAsia="Arial" w:cs="Arial"/>
          <w:sz w:val="20"/>
          <w:szCs w:val="20"/>
        </w:rPr>
        <w:t xml:space="preserve"> </w:t>
      </w:r>
    </w:p>
    <w:tbl>
      <w:tblPr>
        <w:tblStyle w:val="a2"/>
        <w:tblW w:w="847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80"/>
        <w:gridCol w:w="1335"/>
        <w:gridCol w:w="795"/>
        <w:gridCol w:w="870"/>
        <w:gridCol w:w="795"/>
        <w:gridCol w:w="2400"/>
      </w:tblGrid>
      <w:tr w:rsidR="00501FB8" w14:paraId="2A7743D1" w14:textId="77777777">
        <w:trPr>
          <w:trHeight w:val="1275"/>
        </w:trPr>
        <w:tc>
          <w:tcPr>
            <w:tcW w:w="228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9DA777" w14:textId="77777777" w:rsidR="00501FB8" w:rsidRDefault="00F63BB8">
            <w:pPr>
              <w:spacing w:line="276" w:lineRule="auto"/>
              <w:jc w:val="center"/>
              <w:rPr>
                <w:rFonts w:eastAsia="Arial" w:cs="Arial"/>
                <w:sz w:val="20"/>
                <w:szCs w:val="20"/>
              </w:rPr>
            </w:pPr>
            <w:r>
              <w:rPr>
                <w:rFonts w:eastAsia="Arial" w:cs="Arial"/>
                <w:sz w:val="20"/>
                <w:szCs w:val="20"/>
              </w:rPr>
              <w:t xml:space="preserve">Désignation des installations de traitement thermique de déchets non dangereux concernés </w:t>
            </w:r>
          </w:p>
        </w:tc>
        <w:tc>
          <w:tcPr>
            <w:tcW w:w="1335" w:type="dxa"/>
            <w:vMerge w:val="restar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E6C94" w14:textId="77777777" w:rsidR="00501FB8" w:rsidRDefault="00F63BB8">
            <w:pPr>
              <w:spacing w:line="276" w:lineRule="auto"/>
              <w:jc w:val="center"/>
              <w:rPr>
                <w:rFonts w:eastAsia="Arial" w:cs="Arial"/>
                <w:sz w:val="20"/>
                <w:szCs w:val="20"/>
              </w:rPr>
            </w:pPr>
            <w:r>
              <w:rPr>
                <w:rFonts w:eastAsia="Arial" w:cs="Arial"/>
                <w:sz w:val="20"/>
                <w:szCs w:val="20"/>
              </w:rPr>
              <w:t>Unité de perception</w:t>
            </w:r>
          </w:p>
        </w:tc>
        <w:tc>
          <w:tcPr>
            <w:tcW w:w="4860" w:type="dxa"/>
            <w:gridSpan w:val="4"/>
            <w:tcBorders>
              <w:top w:val="single" w:sz="8" w:space="0" w:color="000000"/>
              <w:left w:val="single" w:sz="8" w:space="0" w:color="000000"/>
              <w:bottom w:val="single" w:sz="8" w:space="0" w:color="000000"/>
            </w:tcBorders>
            <w:tcMar>
              <w:top w:w="20" w:type="dxa"/>
              <w:left w:w="20" w:type="dxa"/>
              <w:bottom w:w="20" w:type="dxa"/>
              <w:right w:w="20" w:type="dxa"/>
            </w:tcMar>
          </w:tcPr>
          <w:p w14:paraId="2508366B" w14:textId="77777777" w:rsidR="00501FB8" w:rsidRDefault="00F63BB8">
            <w:pPr>
              <w:spacing w:line="276" w:lineRule="auto"/>
              <w:jc w:val="center"/>
              <w:rPr>
                <w:rFonts w:eastAsia="Arial" w:cs="Arial"/>
                <w:b/>
                <w:sz w:val="20"/>
                <w:szCs w:val="20"/>
              </w:rPr>
            </w:pPr>
            <w:r>
              <w:rPr>
                <w:rFonts w:eastAsia="Arial" w:cs="Arial"/>
                <w:b/>
                <w:sz w:val="20"/>
                <w:szCs w:val="20"/>
              </w:rPr>
              <w:t>Quotité en euros</w:t>
            </w:r>
          </w:p>
          <w:p w14:paraId="471C79BE" w14:textId="77777777" w:rsidR="00501FB8" w:rsidRDefault="00F63BB8">
            <w:pPr>
              <w:spacing w:line="276" w:lineRule="auto"/>
              <w:jc w:val="center"/>
              <w:rPr>
                <w:rFonts w:eastAsia="Arial" w:cs="Arial"/>
                <w:b/>
                <w:sz w:val="20"/>
                <w:szCs w:val="20"/>
              </w:rPr>
            </w:pPr>
            <w:r>
              <w:rPr>
                <w:rFonts w:eastAsia="Arial" w:cs="Arial"/>
                <w:b/>
                <w:sz w:val="20"/>
                <w:szCs w:val="20"/>
              </w:rPr>
              <w:t xml:space="preserve"> </w:t>
            </w:r>
          </w:p>
        </w:tc>
      </w:tr>
      <w:tr w:rsidR="00501FB8" w14:paraId="2317CBC4" w14:textId="77777777">
        <w:trPr>
          <w:trHeight w:val="525"/>
        </w:trPr>
        <w:tc>
          <w:tcPr>
            <w:tcW w:w="228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C7181F1" w14:textId="77777777" w:rsidR="00501FB8" w:rsidRDefault="00501FB8">
            <w:pPr>
              <w:widowControl w:val="0"/>
              <w:spacing w:line="276" w:lineRule="auto"/>
              <w:rPr>
                <w:rFonts w:eastAsia="Arial" w:cs="Arial"/>
                <w:sz w:val="20"/>
                <w:szCs w:val="20"/>
              </w:rPr>
            </w:pPr>
          </w:p>
        </w:tc>
        <w:tc>
          <w:tcPr>
            <w:tcW w:w="133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992CC4C" w14:textId="77777777" w:rsidR="00501FB8" w:rsidRDefault="00501FB8">
            <w:pPr>
              <w:widowControl w:val="0"/>
              <w:spacing w:line="276" w:lineRule="auto"/>
              <w:rPr>
                <w:rFonts w:eastAsia="Arial" w:cs="Arial"/>
                <w:sz w:val="20"/>
                <w:szCs w:val="20"/>
              </w:rPr>
            </w:pP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3FB45FF8" w14:textId="77777777" w:rsidR="00501FB8" w:rsidRDefault="00F63BB8">
            <w:pPr>
              <w:spacing w:line="276" w:lineRule="auto"/>
              <w:jc w:val="center"/>
              <w:rPr>
                <w:rFonts w:eastAsia="Arial" w:cs="Arial"/>
                <w:b/>
                <w:sz w:val="20"/>
                <w:szCs w:val="20"/>
              </w:rPr>
            </w:pPr>
            <w:r>
              <w:rPr>
                <w:rFonts w:eastAsia="Arial" w:cs="Arial"/>
                <w:b/>
                <w:sz w:val="20"/>
                <w:szCs w:val="20"/>
              </w:rPr>
              <w:t>2022</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05D27734" w14:textId="77777777" w:rsidR="00501FB8" w:rsidRDefault="00F63BB8">
            <w:pPr>
              <w:spacing w:line="276" w:lineRule="auto"/>
              <w:jc w:val="center"/>
              <w:rPr>
                <w:rFonts w:eastAsia="Arial" w:cs="Arial"/>
                <w:b/>
                <w:sz w:val="20"/>
                <w:szCs w:val="20"/>
              </w:rPr>
            </w:pPr>
            <w:r>
              <w:rPr>
                <w:rFonts w:eastAsia="Arial" w:cs="Arial"/>
                <w:b/>
                <w:sz w:val="20"/>
                <w:szCs w:val="20"/>
              </w:rPr>
              <w:t>2023</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7633ABA7" w14:textId="77777777" w:rsidR="00501FB8" w:rsidRDefault="00F63BB8">
            <w:pPr>
              <w:spacing w:line="276" w:lineRule="auto"/>
              <w:jc w:val="center"/>
              <w:rPr>
                <w:rFonts w:eastAsia="Arial" w:cs="Arial"/>
                <w:b/>
                <w:sz w:val="20"/>
                <w:szCs w:val="20"/>
              </w:rPr>
            </w:pPr>
            <w:r>
              <w:rPr>
                <w:rFonts w:eastAsia="Arial" w:cs="Arial"/>
                <w:b/>
                <w:sz w:val="20"/>
                <w:szCs w:val="20"/>
              </w:rPr>
              <w:t>2024</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374D147D" w14:textId="77777777" w:rsidR="00501FB8" w:rsidRDefault="00F63BB8">
            <w:pPr>
              <w:spacing w:line="276" w:lineRule="auto"/>
              <w:jc w:val="center"/>
              <w:rPr>
                <w:rFonts w:eastAsia="Arial" w:cs="Arial"/>
                <w:b/>
                <w:sz w:val="20"/>
                <w:szCs w:val="20"/>
              </w:rPr>
            </w:pPr>
            <w:r>
              <w:rPr>
                <w:rFonts w:eastAsia="Arial" w:cs="Arial"/>
                <w:b/>
                <w:sz w:val="20"/>
                <w:szCs w:val="20"/>
              </w:rPr>
              <w:t>A partir de 2025</w:t>
            </w:r>
          </w:p>
        </w:tc>
      </w:tr>
      <w:tr w:rsidR="00501FB8" w14:paraId="2FEFE93D" w14:textId="77777777">
        <w:trPr>
          <w:trHeight w:val="2550"/>
        </w:trPr>
        <w:tc>
          <w:tcPr>
            <w:tcW w:w="22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0D533" w14:textId="77777777" w:rsidR="00501FB8" w:rsidRDefault="00F63BB8">
            <w:pPr>
              <w:spacing w:line="276" w:lineRule="auto"/>
              <w:jc w:val="center"/>
              <w:rPr>
                <w:rFonts w:eastAsia="Arial" w:cs="Arial"/>
                <w:sz w:val="20"/>
                <w:szCs w:val="20"/>
              </w:rPr>
            </w:pPr>
            <w:r>
              <w:rPr>
                <w:rFonts w:eastAsia="Arial" w:cs="Arial"/>
                <w:sz w:val="20"/>
                <w:szCs w:val="20"/>
              </w:rPr>
              <w:lastRenderedPageBreak/>
              <w:t>A. - Installations autorisées dont le système de management de l’énergie a été certifié conforme à la norme internationale ISO 50001 par un organisme accrédité</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4C2FEBCE"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6576155A" w14:textId="77777777" w:rsidR="00501FB8" w:rsidRDefault="00F63BB8">
            <w:pPr>
              <w:spacing w:line="276" w:lineRule="auto"/>
              <w:jc w:val="center"/>
              <w:rPr>
                <w:rFonts w:eastAsia="Arial" w:cs="Arial"/>
                <w:sz w:val="20"/>
                <w:szCs w:val="20"/>
              </w:rPr>
            </w:pPr>
            <w:r>
              <w:rPr>
                <w:rFonts w:eastAsia="Arial" w:cs="Arial"/>
                <w:sz w:val="20"/>
                <w:szCs w:val="20"/>
              </w:rPr>
              <w:t>18</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7E1DFD86" w14:textId="77777777" w:rsidR="00501FB8" w:rsidRDefault="00F63BB8">
            <w:pPr>
              <w:spacing w:line="276" w:lineRule="auto"/>
              <w:jc w:val="center"/>
              <w:rPr>
                <w:rFonts w:eastAsia="Arial" w:cs="Arial"/>
                <w:sz w:val="20"/>
                <w:szCs w:val="20"/>
              </w:rPr>
            </w:pPr>
            <w:r>
              <w:rPr>
                <w:rFonts w:eastAsia="Arial" w:cs="Arial"/>
                <w:sz w:val="20"/>
                <w:szCs w:val="20"/>
              </w:rPr>
              <w:t>20</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5F940A18" w14:textId="77777777" w:rsidR="00501FB8" w:rsidRDefault="00F63BB8">
            <w:pPr>
              <w:spacing w:line="276" w:lineRule="auto"/>
              <w:jc w:val="center"/>
              <w:rPr>
                <w:rFonts w:eastAsia="Arial" w:cs="Arial"/>
                <w:sz w:val="20"/>
                <w:szCs w:val="20"/>
              </w:rPr>
            </w:pPr>
            <w:r>
              <w:rPr>
                <w:rFonts w:eastAsia="Arial" w:cs="Arial"/>
                <w:sz w:val="20"/>
                <w:szCs w:val="20"/>
              </w:rPr>
              <w:t>22</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4D5423D8" w14:textId="77777777" w:rsidR="00501FB8" w:rsidRDefault="00F63BB8">
            <w:pPr>
              <w:spacing w:line="276" w:lineRule="auto"/>
              <w:jc w:val="center"/>
              <w:rPr>
                <w:rFonts w:eastAsia="Arial" w:cs="Arial"/>
                <w:sz w:val="20"/>
                <w:szCs w:val="20"/>
              </w:rPr>
            </w:pPr>
            <w:r>
              <w:rPr>
                <w:rFonts w:eastAsia="Arial" w:cs="Arial"/>
                <w:sz w:val="20"/>
                <w:szCs w:val="20"/>
              </w:rPr>
              <w:t>25</w:t>
            </w:r>
          </w:p>
        </w:tc>
      </w:tr>
      <w:tr w:rsidR="00501FB8" w14:paraId="6202791D" w14:textId="77777777">
        <w:trPr>
          <w:trHeight w:val="1500"/>
        </w:trPr>
        <w:tc>
          <w:tcPr>
            <w:tcW w:w="22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3A5D9" w14:textId="77777777" w:rsidR="00501FB8" w:rsidRDefault="00F63BB8">
            <w:pPr>
              <w:spacing w:line="276" w:lineRule="auto"/>
              <w:jc w:val="center"/>
              <w:rPr>
                <w:rFonts w:eastAsia="Arial" w:cs="Arial"/>
                <w:sz w:val="20"/>
                <w:szCs w:val="20"/>
              </w:rPr>
            </w:pPr>
            <w:r>
              <w:rPr>
                <w:rFonts w:eastAsia="Arial" w:cs="Arial"/>
                <w:sz w:val="20"/>
                <w:szCs w:val="20"/>
              </w:rPr>
              <w:t xml:space="preserve">B. - Installations autorisées dont les valeurs d’émission de </w:t>
            </w:r>
            <w:proofErr w:type="spellStart"/>
            <w:r>
              <w:rPr>
                <w:rFonts w:eastAsia="Arial" w:cs="Arial"/>
                <w:sz w:val="20"/>
                <w:szCs w:val="20"/>
              </w:rPr>
              <w:t>NOx</w:t>
            </w:r>
            <w:proofErr w:type="spellEnd"/>
            <w:r>
              <w:rPr>
                <w:rFonts w:eastAsia="Arial" w:cs="Arial"/>
                <w:sz w:val="20"/>
                <w:szCs w:val="20"/>
              </w:rPr>
              <w:t xml:space="preserve"> sont inférieures à 80 mg/ Nm3</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4F8E43C2"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1FCA3FB9" w14:textId="77777777" w:rsidR="00501FB8" w:rsidRDefault="00F63BB8">
            <w:pPr>
              <w:spacing w:line="276" w:lineRule="auto"/>
              <w:jc w:val="center"/>
              <w:rPr>
                <w:rFonts w:eastAsia="Arial" w:cs="Arial"/>
                <w:sz w:val="20"/>
                <w:szCs w:val="20"/>
              </w:rPr>
            </w:pPr>
            <w:r>
              <w:rPr>
                <w:rFonts w:eastAsia="Arial" w:cs="Arial"/>
                <w:sz w:val="20"/>
                <w:szCs w:val="20"/>
              </w:rPr>
              <w:t>18</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2CFB524F" w14:textId="77777777" w:rsidR="00501FB8" w:rsidRDefault="00F63BB8">
            <w:pPr>
              <w:spacing w:line="276" w:lineRule="auto"/>
              <w:jc w:val="center"/>
              <w:rPr>
                <w:rFonts w:eastAsia="Arial" w:cs="Arial"/>
                <w:sz w:val="20"/>
                <w:szCs w:val="20"/>
              </w:rPr>
            </w:pPr>
            <w:r>
              <w:rPr>
                <w:rFonts w:eastAsia="Arial" w:cs="Arial"/>
                <w:sz w:val="20"/>
                <w:szCs w:val="20"/>
              </w:rPr>
              <w:t>20</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409159B8" w14:textId="77777777" w:rsidR="00501FB8" w:rsidRDefault="00F63BB8">
            <w:pPr>
              <w:spacing w:line="276" w:lineRule="auto"/>
              <w:jc w:val="center"/>
              <w:rPr>
                <w:rFonts w:eastAsia="Arial" w:cs="Arial"/>
                <w:sz w:val="20"/>
                <w:szCs w:val="20"/>
              </w:rPr>
            </w:pPr>
            <w:r>
              <w:rPr>
                <w:rFonts w:eastAsia="Arial" w:cs="Arial"/>
                <w:sz w:val="20"/>
                <w:szCs w:val="20"/>
              </w:rPr>
              <w:t>22</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232BCA74" w14:textId="77777777" w:rsidR="00501FB8" w:rsidRDefault="00F63BB8">
            <w:pPr>
              <w:spacing w:line="276" w:lineRule="auto"/>
              <w:jc w:val="center"/>
              <w:rPr>
                <w:rFonts w:eastAsia="Arial" w:cs="Arial"/>
                <w:sz w:val="20"/>
                <w:szCs w:val="20"/>
              </w:rPr>
            </w:pPr>
            <w:r>
              <w:rPr>
                <w:rFonts w:eastAsia="Arial" w:cs="Arial"/>
                <w:sz w:val="20"/>
                <w:szCs w:val="20"/>
              </w:rPr>
              <w:t>25</w:t>
            </w:r>
          </w:p>
        </w:tc>
      </w:tr>
      <w:tr w:rsidR="00501FB8" w14:paraId="0F8DABDF" w14:textId="77777777">
        <w:trPr>
          <w:trHeight w:val="2295"/>
        </w:trPr>
        <w:tc>
          <w:tcPr>
            <w:tcW w:w="22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ED377D" w14:textId="77777777" w:rsidR="00501FB8" w:rsidRDefault="00F63BB8">
            <w:pPr>
              <w:spacing w:line="276" w:lineRule="auto"/>
              <w:jc w:val="center"/>
              <w:rPr>
                <w:rFonts w:eastAsia="Arial" w:cs="Arial"/>
                <w:sz w:val="20"/>
                <w:szCs w:val="20"/>
              </w:rPr>
            </w:pPr>
            <w:r>
              <w:rPr>
                <w:rFonts w:eastAsia="Arial" w:cs="Arial"/>
                <w:sz w:val="20"/>
                <w:szCs w:val="20"/>
              </w:rPr>
              <w:t>C. - Installations autorisées réalisant une valorisation énergétique élevée dont le rendement énergétique est supérieur ou égal à 0,65</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0E7663BF"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6EDD45BD"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39C95C12"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7CDDF47A"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69F8F9A2" w14:textId="77777777" w:rsidR="00501FB8" w:rsidRDefault="00F63BB8">
            <w:pPr>
              <w:spacing w:line="276" w:lineRule="auto"/>
              <w:jc w:val="center"/>
              <w:rPr>
                <w:rFonts w:eastAsia="Arial" w:cs="Arial"/>
                <w:sz w:val="20"/>
                <w:szCs w:val="20"/>
              </w:rPr>
            </w:pPr>
            <w:r>
              <w:rPr>
                <w:rFonts w:eastAsia="Arial" w:cs="Arial"/>
                <w:sz w:val="20"/>
                <w:szCs w:val="20"/>
              </w:rPr>
              <w:t>15</w:t>
            </w:r>
          </w:p>
        </w:tc>
      </w:tr>
      <w:tr w:rsidR="00501FB8" w14:paraId="4D5F052A" w14:textId="77777777">
        <w:trPr>
          <w:trHeight w:val="3120"/>
        </w:trPr>
        <w:tc>
          <w:tcPr>
            <w:tcW w:w="22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752B1" w14:textId="77777777" w:rsidR="00501FB8" w:rsidRDefault="00F63BB8">
            <w:pPr>
              <w:spacing w:line="276" w:lineRule="auto"/>
              <w:jc w:val="center"/>
              <w:rPr>
                <w:rFonts w:eastAsia="Arial" w:cs="Arial"/>
                <w:sz w:val="20"/>
                <w:szCs w:val="20"/>
              </w:rPr>
            </w:pPr>
            <w:r>
              <w:rPr>
                <w:rFonts w:eastAsia="Arial" w:cs="Arial"/>
                <w:sz w:val="20"/>
                <w:szCs w:val="20"/>
              </w:rPr>
              <w:t>D. - Installations autorisées réceptionnant des déchets provenant d’un établissement public de coopération intercommunale ou de son groupement ou d’une entreprise, performant en matière de gestion des déchets</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38FC317C"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3E032C14" w14:textId="77777777" w:rsidR="00501FB8" w:rsidRDefault="00F63BB8">
            <w:pPr>
              <w:spacing w:line="276" w:lineRule="auto"/>
              <w:jc w:val="center"/>
              <w:rPr>
                <w:rFonts w:eastAsia="Arial" w:cs="Arial"/>
                <w:sz w:val="20"/>
                <w:szCs w:val="20"/>
              </w:rPr>
            </w:pPr>
            <w:r>
              <w:rPr>
                <w:rFonts w:eastAsia="Arial" w:cs="Arial"/>
                <w:sz w:val="20"/>
                <w:szCs w:val="20"/>
              </w:rPr>
              <w:t>17</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1ABEC06D" w14:textId="77777777" w:rsidR="00501FB8" w:rsidRDefault="00F63BB8">
            <w:pPr>
              <w:spacing w:line="276" w:lineRule="auto"/>
              <w:jc w:val="center"/>
              <w:rPr>
                <w:rFonts w:eastAsia="Arial" w:cs="Arial"/>
                <w:sz w:val="20"/>
                <w:szCs w:val="20"/>
              </w:rPr>
            </w:pPr>
            <w:r>
              <w:rPr>
                <w:rFonts w:eastAsia="Arial" w:cs="Arial"/>
                <w:sz w:val="20"/>
                <w:szCs w:val="20"/>
              </w:rPr>
              <w:t>18</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22E8E22D" w14:textId="77777777" w:rsidR="00501FB8" w:rsidRDefault="00F63BB8">
            <w:pPr>
              <w:spacing w:line="276" w:lineRule="auto"/>
              <w:jc w:val="center"/>
              <w:rPr>
                <w:rFonts w:eastAsia="Arial" w:cs="Arial"/>
                <w:sz w:val="20"/>
                <w:szCs w:val="20"/>
              </w:rPr>
            </w:pPr>
            <w:r>
              <w:rPr>
                <w:rFonts w:eastAsia="Arial" w:cs="Arial"/>
                <w:sz w:val="20"/>
                <w:szCs w:val="20"/>
              </w:rPr>
              <w:t>19</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5B39A440" w14:textId="77777777" w:rsidR="00501FB8" w:rsidRDefault="00F63BB8">
            <w:pPr>
              <w:spacing w:line="276" w:lineRule="auto"/>
              <w:jc w:val="center"/>
              <w:rPr>
                <w:rFonts w:eastAsia="Arial" w:cs="Arial"/>
                <w:sz w:val="20"/>
                <w:szCs w:val="20"/>
              </w:rPr>
            </w:pPr>
            <w:r>
              <w:rPr>
                <w:rFonts w:eastAsia="Arial" w:cs="Arial"/>
                <w:sz w:val="20"/>
                <w:szCs w:val="20"/>
              </w:rPr>
              <w:t>20</w:t>
            </w:r>
          </w:p>
        </w:tc>
      </w:tr>
      <w:tr w:rsidR="00501FB8" w14:paraId="0ADD5E38" w14:textId="77777777">
        <w:trPr>
          <w:trHeight w:val="1005"/>
        </w:trPr>
        <w:tc>
          <w:tcPr>
            <w:tcW w:w="22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5F4E6" w14:textId="77777777" w:rsidR="00501FB8" w:rsidRDefault="00F63BB8">
            <w:pPr>
              <w:spacing w:line="276" w:lineRule="auto"/>
              <w:jc w:val="center"/>
              <w:rPr>
                <w:rFonts w:eastAsia="Arial" w:cs="Arial"/>
                <w:sz w:val="20"/>
                <w:szCs w:val="20"/>
              </w:rPr>
            </w:pPr>
            <w:r>
              <w:rPr>
                <w:rFonts w:eastAsia="Arial" w:cs="Arial"/>
                <w:sz w:val="20"/>
                <w:szCs w:val="20"/>
              </w:rPr>
              <w:t>E. - Installations relevant à la fois des A et B</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69A0F0D2"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5E439D40"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62F48ED8" w14:textId="77777777" w:rsidR="00501FB8" w:rsidRDefault="00F63BB8">
            <w:pPr>
              <w:spacing w:line="276" w:lineRule="auto"/>
              <w:jc w:val="center"/>
              <w:rPr>
                <w:rFonts w:eastAsia="Arial" w:cs="Arial"/>
                <w:sz w:val="20"/>
                <w:szCs w:val="20"/>
              </w:rPr>
            </w:pPr>
            <w:r>
              <w:rPr>
                <w:rFonts w:eastAsia="Arial" w:cs="Arial"/>
                <w:sz w:val="20"/>
                <w:szCs w:val="20"/>
              </w:rPr>
              <w:t>17</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5B18D234" w14:textId="77777777" w:rsidR="00501FB8" w:rsidRDefault="00F63BB8">
            <w:pPr>
              <w:spacing w:line="276" w:lineRule="auto"/>
              <w:jc w:val="center"/>
              <w:rPr>
                <w:rFonts w:eastAsia="Arial" w:cs="Arial"/>
                <w:sz w:val="20"/>
                <w:szCs w:val="20"/>
              </w:rPr>
            </w:pPr>
            <w:r>
              <w:rPr>
                <w:rFonts w:eastAsia="Arial" w:cs="Arial"/>
                <w:sz w:val="20"/>
                <w:szCs w:val="20"/>
              </w:rPr>
              <w:t>20</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6244F7A5" w14:textId="77777777" w:rsidR="00501FB8" w:rsidRDefault="00F63BB8">
            <w:pPr>
              <w:spacing w:line="276" w:lineRule="auto"/>
              <w:jc w:val="center"/>
              <w:rPr>
                <w:rFonts w:eastAsia="Arial" w:cs="Arial"/>
                <w:sz w:val="20"/>
                <w:szCs w:val="20"/>
              </w:rPr>
            </w:pPr>
            <w:r>
              <w:rPr>
                <w:rFonts w:eastAsia="Arial" w:cs="Arial"/>
                <w:sz w:val="20"/>
                <w:szCs w:val="20"/>
              </w:rPr>
              <w:t>25</w:t>
            </w:r>
          </w:p>
        </w:tc>
      </w:tr>
      <w:tr w:rsidR="00501FB8" w14:paraId="5C0481F8" w14:textId="77777777">
        <w:trPr>
          <w:trHeight w:val="1005"/>
        </w:trPr>
        <w:tc>
          <w:tcPr>
            <w:tcW w:w="22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7445AF" w14:textId="77777777" w:rsidR="00501FB8" w:rsidRDefault="00F63BB8">
            <w:pPr>
              <w:spacing w:line="276" w:lineRule="auto"/>
              <w:jc w:val="center"/>
              <w:rPr>
                <w:rFonts w:eastAsia="Arial" w:cs="Arial"/>
                <w:sz w:val="20"/>
                <w:szCs w:val="20"/>
              </w:rPr>
            </w:pPr>
            <w:r>
              <w:rPr>
                <w:rFonts w:eastAsia="Arial" w:cs="Arial"/>
                <w:sz w:val="20"/>
                <w:szCs w:val="20"/>
              </w:rPr>
              <w:t>F. - Installations relevant à la fois des A et C</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2CA24562"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684C8F46" w14:textId="77777777" w:rsidR="00501FB8" w:rsidRDefault="00F63BB8">
            <w:pPr>
              <w:spacing w:line="276" w:lineRule="auto"/>
              <w:jc w:val="center"/>
              <w:rPr>
                <w:rFonts w:eastAsia="Arial" w:cs="Arial"/>
                <w:sz w:val="20"/>
                <w:szCs w:val="20"/>
              </w:rPr>
            </w:pPr>
            <w:r>
              <w:rPr>
                <w:rFonts w:eastAsia="Arial" w:cs="Arial"/>
                <w:sz w:val="20"/>
                <w:szCs w:val="20"/>
              </w:rPr>
              <w:t>12</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5C2165FE" w14:textId="77777777" w:rsidR="00501FB8" w:rsidRDefault="00F63BB8">
            <w:pPr>
              <w:spacing w:line="276" w:lineRule="auto"/>
              <w:jc w:val="center"/>
              <w:rPr>
                <w:rFonts w:eastAsia="Arial" w:cs="Arial"/>
                <w:sz w:val="20"/>
                <w:szCs w:val="20"/>
              </w:rPr>
            </w:pPr>
            <w:r>
              <w:rPr>
                <w:rFonts w:eastAsia="Arial" w:cs="Arial"/>
                <w:sz w:val="20"/>
                <w:szCs w:val="20"/>
              </w:rPr>
              <w:t>13</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08529AE4"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640CD998" w14:textId="77777777" w:rsidR="00501FB8" w:rsidRDefault="00F63BB8">
            <w:pPr>
              <w:spacing w:line="276" w:lineRule="auto"/>
              <w:jc w:val="center"/>
              <w:rPr>
                <w:rFonts w:eastAsia="Arial" w:cs="Arial"/>
                <w:sz w:val="20"/>
                <w:szCs w:val="20"/>
              </w:rPr>
            </w:pPr>
            <w:r>
              <w:rPr>
                <w:rFonts w:eastAsia="Arial" w:cs="Arial"/>
                <w:sz w:val="20"/>
                <w:szCs w:val="20"/>
              </w:rPr>
              <w:t>15</w:t>
            </w:r>
          </w:p>
        </w:tc>
      </w:tr>
      <w:tr w:rsidR="00501FB8" w14:paraId="53F8E469" w14:textId="77777777">
        <w:trPr>
          <w:trHeight w:val="1260"/>
        </w:trPr>
        <w:tc>
          <w:tcPr>
            <w:tcW w:w="22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AFA8F" w14:textId="77777777" w:rsidR="00501FB8" w:rsidRDefault="00F63BB8">
            <w:pPr>
              <w:spacing w:line="276" w:lineRule="auto"/>
              <w:jc w:val="center"/>
              <w:rPr>
                <w:rFonts w:eastAsia="Arial" w:cs="Arial"/>
                <w:sz w:val="20"/>
                <w:szCs w:val="20"/>
              </w:rPr>
            </w:pPr>
            <w:r>
              <w:rPr>
                <w:rFonts w:eastAsia="Arial" w:cs="Arial"/>
                <w:sz w:val="20"/>
                <w:szCs w:val="20"/>
              </w:rPr>
              <w:t>G. - Installations relevant à la fois des B et C</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3E6B1644"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2D421222" w14:textId="77777777" w:rsidR="00501FB8" w:rsidRDefault="00F63BB8">
            <w:pPr>
              <w:spacing w:line="276" w:lineRule="auto"/>
              <w:jc w:val="center"/>
              <w:rPr>
                <w:rFonts w:eastAsia="Arial" w:cs="Arial"/>
                <w:sz w:val="20"/>
                <w:szCs w:val="20"/>
              </w:rPr>
            </w:pPr>
            <w:r>
              <w:rPr>
                <w:rFonts w:eastAsia="Arial" w:cs="Arial"/>
                <w:sz w:val="20"/>
                <w:szCs w:val="20"/>
              </w:rPr>
              <w:t>11</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5ABE7D9D" w14:textId="77777777" w:rsidR="00501FB8" w:rsidRDefault="00F63BB8">
            <w:pPr>
              <w:spacing w:line="276" w:lineRule="auto"/>
              <w:jc w:val="center"/>
              <w:rPr>
                <w:rFonts w:eastAsia="Arial" w:cs="Arial"/>
                <w:sz w:val="20"/>
                <w:szCs w:val="20"/>
              </w:rPr>
            </w:pPr>
            <w:r>
              <w:rPr>
                <w:rFonts w:eastAsia="Arial" w:cs="Arial"/>
                <w:sz w:val="20"/>
                <w:szCs w:val="20"/>
              </w:rPr>
              <w:t>12</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58E5D304"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03DD1846" w14:textId="77777777" w:rsidR="00501FB8" w:rsidRDefault="00F63BB8">
            <w:pPr>
              <w:spacing w:line="276" w:lineRule="auto"/>
              <w:jc w:val="center"/>
              <w:rPr>
                <w:rFonts w:eastAsia="Arial" w:cs="Arial"/>
                <w:sz w:val="20"/>
                <w:szCs w:val="20"/>
              </w:rPr>
            </w:pPr>
            <w:r>
              <w:rPr>
                <w:rFonts w:eastAsia="Arial" w:cs="Arial"/>
                <w:sz w:val="20"/>
                <w:szCs w:val="20"/>
              </w:rPr>
              <w:t>15</w:t>
            </w:r>
          </w:p>
        </w:tc>
      </w:tr>
      <w:tr w:rsidR="00501FB8" w14:paraId="13479534" w14:textId="77777777">
        <w:trPr>
          <w:trHeight w:val="1005"/>
        </w:trPr>
        <w:tc>
          <w:tcPr>
            <w:tcW w:w="22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F65B7" w14:textId="77777777" w:rsidR="00501FB8" w:rsidRDefault="00F63BB8">
            <w:pPr>
              <w:spacing w:line="276" w:lineRule="auto"/>
              <w:jc w:val="center"/>
              <w:rPr>
                <w:rFonts w:eastAsia="Arial" w:cs="Arial"/>
                <w:sz w:val="20"/>
                <w:szCs w:val="20"/>
              </w:rPr>
            </w:pPr>
            <w:r>
              <w:rPr>
                <w:rFonts w:eastAsia="Arial" w:cs="Arial"/>
                <w:sz w:val="20"/>
                <w:szCs w:val="20"/>
              </w:rPr>
              <w:lastRenderedPageBreak/>
              <w:t>H. - Installations relevant à la fois des A et D ou des B et D</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7CCDE196"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01543BF8" w14:textId="77777777" w:rsidR="00501FB8" w:rsidRDefault="00F63BB8">
            <w:pPr>
              <w:spacing w:line="276" w:lineRule="auto"/>
              <w:jc w:val="center"/>
              <w:rPr>
                <w:rFonts w:eastAsia="Arial" w:cs="Arial"/>
                <w:sz w:val="20"/>
                <w:szCs w:val="20"/>
              </w:rPr>
            </w:pPr>
            <w:r>
              <w:rPr>
                <w:rFonts w:eastAsia="Arial" w:cs="Arial"/>
                <w:sz w:val="20"/>
                <w:szCs w:val="20"/>
              </w:rPr>
              <w:t>13</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178D51F8" w14:textId="77777777" w:rsidR="00501FB8" w:rsidRDefault="00F63BB8">
            <w:pPr>
              <w:spacing w:line="276" w:lineRule="auto"/>
              <w:jc w:val="center"/>
              <w:rPr>
                <w:rFonts w:eastAsia="Arial" w:cs="Arial"/>
                <w:sz w:val="20"/>
                <w:szCs w:val="20"/>
              </w:rPr>
            </w:pPr>
            <w:r>
              <w:rPr>
                <w:rFonts w:eastAsia="Arial" w:cs="Arial"/>
                <w:sz w:val="20"/>
                <w:szCs w:val="20"/>
              </w:rPr>
              <w:t>15</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238E4567" w14:textId="77777777" w:rsidR="00501FB8" w:rsidRDefault="00F63BB8">
            <w:pPr>
              <w:spacing w:line="276" w:lineRule="auto"/>
              <w:jc w:val="center"/>
              <w:rPr>
                <w:rFonts w:eastAsia="Arial" w:cs="Arial"/>
                <w:sz w:val="20"/>
                <w:szCs w:val="20"/>
              </w:rPr>
            </w:pPr>
            <w:r>
              <w:rPr>
                <w:rFonts w:eastAsia="Arial" w:cs="Arial"/>
                <w:sz w:val="20"/>
                <w:szCs w:val="20"/>
              </w:rPr>
              <w:t>17</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24094923" w14:textId="77777777" w:rsidR="00501FB8" w:rsidRDefault="00F63BB8">
            <w:pPr>
              <w:spacing w:line="276" w:lineRule="auto"/>
              <w:jc w:val="center"/>
              <w:rPr>
                <w:rFonts w:eastAsia="Arial" w:cs="Arial"/>
                <w:sz w:val="20"/>
                <w:szCs w:val="20"/>
              </w:rPr>
            </w:pPr>
            <w:r>
              <w:rPr>
                <w:rFonts w:eastAsia="Arial" w:cs="Arial"/>
                <w:sz w:val="20"/>
                <w:szCs w:val="20"/>
              </w:rPr>
              <w:t>20</w:t>
            </w:r>
          </w:p>
        </w:tc>
      </w:tr>
      <w:tr w:rsidR="00501FB8" w14:paraId="07111957" w14:textId="77777777">
        <w:trPr>
          <w:trHeight w:val="1005"/>
        </w:trPr>
        <w:tc>
          <w:tcPr>
            <w:tcW w:w="22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3A0AE" w14:textId="77777777" w:rsidR="00501FB8" w:rsidRDefault="00F63BB8">
            <w:pPr>
              <w:spacing w:line="276" w:lineRule="auto"/>
              <w:jc w:val="center"/>
              <w:rPr>
                <w:rFonts w:eastAsia="Arial" w:cs="Arial"/>
                <w:sz w:val="20"/>
                <w:szCs w:val="20"/>
              </w:rPr>
            </w:pPr>
            <w:r>
              <w:rPr>
                <w:rFonts w:eastAsia="Arial" w:cs="Arial"/>
                <w:sz w:val="20"/>
                <w:szCs w:val="20"/>
              </w:rPr>
              <w:t>I. - Installations relevant à la fois des C et D</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23A7F88F"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7DF750B9" w14:textId="77777777" w:rsidR="00501FB8" w:rsidRDefault="00F63BB8">
            <w:pPr>
              <w:spacing w:line="276" w:lineRule="auto"/>
              <w:jc w:val="center"/>
              <w:rPr>
                <w:rFonts w:eastAsia="Arial" w:cs="Arial"/>
                <w:sz w:val="20"/>
                <w:szCs w:val="20"/>
              </w:rPr>
            </w:pPr>
            <w:r>
              <w:rPr>
                <w:rFonts w:eastAsia="Arial" w:cs="Arial"/>
                <w:sz w:val="20"/>
                <w:szCs w:val="20"/>
              </w:rPr>
              <w:t>9</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13E0D40D" w14:textId="77777777" w:rsidR="00501FB8" w:rsidRDefault="00F63BB8">
            <w:pPr>
              <w:spacing w:line="276" w:lineRule="auto"/>
              <w:jc w:val="center"/>
              <w:rPr>
                <w:rFonts w:eastAsia="Arial" w:cs="Arial"/>
                <w:sz w:val="20"/>
                <w:szCs w:val="20"/>
              </w:rPr>
            </w:pPr>
            <w:r>
              <w:rPr>
                <w:rFonts w:eastAsia="Arial" w:cs="Arial"/>
                <w:sz w:val="20"/>
                <w:szCs w:val="20"/>
              </w:rPr>
              <w:t>9</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3333C087" w14:textId="77777777" w:rsidR="00501FB8" w:rsidRDefault="00F63BB8">
            <w:pPr>
              <w:spacing w:line="276" w:lineRule="auto"/>
              <w:jc w:val="center"/>
              <w:rPr>
                <w:rFonts w:eastAsia="Arial" w:cs="Arial"/>
                <w:sz w:val="20"/>
                <w:szCs w:val="20"/>
              </w:rPr>
            </w:pPr>
            <w:r>
              <w:rPr>
                <w:rFonts w:eastAsia="Arial" w:cs="Arial"/>
                <w:sz w:val="20"/>
                <w:szCs w:val="20"/>
              </w:rPr>
              <w:t>9</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636DD1A9" w14:textId="77777777" w:rsidR="00501FB8" w:rsidRDefault="00F63BB8">
            <w:pPr>
              <w:spacing w:line="276" w:lineRule="auto"/>
              <w:jc w:val="center"/>
              <w:rPr>
                <w:rFonts w:eastAsia="Arial" w:cs="Arial"/>
                <w:sz w:val="20"/>
                <w:szCs w:val="20"/>
              </w:rPr>
            </w:pPr>
            <w:r>
              <w:rPr>
                <w:rFonts w:eastAsia="Arial" w:cs="Arial"/>
                <w:sz w:val="20"/>
                <w:szCs w:val="20"/>
              </w:rPr>
              <w:t>10</w:t>
            </w:r>
          </w:p>
        </w:tc>
      </w:tr>
      <w:tr w:rsidR="00501FB8" w14:paraId="6AB97CFD" w14:textId="77777777">
        <w:trPr>
          <w:trHeight w:val="1260"/>
        </w:trPr>
        <w:tc>
          <w:tcPr>
            <w:tcW w:w="22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5C306" w14:textId="77777777" w:rsidR="00501FB8" w:rsidRDefault="00F63BB8">
            <w:pPr>
              <w:spacing w:line="276" w:lineRule="auto"/>
              <w:jc w:val="center"/>
              <w:rPr>
                <w:rFonts w:eastAsia="Arial" w:cs="Arial"/>
                <w:sz w:val="20"/>
                <w:szCs w:val="20"/>
              </w:rPr>
            </w:pPr>
            <w:r>
              <w:rPr>
                <w:rFonts w:eastAsia="Arial" w:cs="Arial"/>
                <w:sz w:val="20"/>
                <w:szCs w:val="20"/>
              </w:rPr>
              <w:t>J. - Installations relevant à la fois des A, B et C</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16177B4C"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1DE1DC57" w14:textId="77777777" w:rsidR="00501FB8" w:rsidRDefault="00F63BB8">
            <w:pPr>
              <w:spacing w:line="276" w:lineRule="auto"/>
              <w:jc w:val="center"/>
              <w:rPr>
                <w:rFonts w:eastAsia="Arial" w:cs="Arial"/>
                <w:sz w:val="20"/>
                <w:szCs w:val="20"/>
              </w:rPr>
            </w:pPr>
            <w:r>
              <w:rPr>
                <w:rFonts w:eastAsia="Arial" w:cs="Arial"/>
                <w:sz w:val="20"/>
                <w:szCs w:val="20"/>
              </w:rPr>
              <w:t>11</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7CCEC540" w14:textId="77777777" w:rsidR="00501FB8" w:rsidRDefault="00F63BB8">
            <w:pPr>
              <w:spacing w:line="276" w:lineRule="auto"/>
              <w:jc w:val="center"/>
              <w:rPr>
                <w:rFonts w:eastAsia="Arial" w:cs="Arial"/>
                <w:sz w:val="20"/>
                <w:szCs w:val="20"/>
              </w:rPr>
            </w:pPr>
            <w:r>
              <w:rPr>
                <w:rFonts w:eastAsia="Arial" w:cs="Arial"/>
                <w:sz w:val="20"/>
                <w:szCs w:val="20"/>
              </w:rPr>
              <w:t>12</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23722BAD" w14:textId="77777777" w:rsidR="00501FB8" w:rsidRDefault="00F63BB8">
            <w:pPr>
              <w:spacing w:line="276" w:lineRule="auto"/>
              <w:jc w:val="center"/>
              <w:rPr>
                <w:rFonts w:eastAsia="Arial" w:cs="Arial"/>
                <w:sz w:val="20"/>
                <w:szCs w:val="20"/>
              </w:rPr>
            </w:pPr>
            <w:r>
              <w:rPr>
                <w:rFonts w:eastAsia="Arial" w:cs="Arial"/>
                <w:sz w:val="20"/>
                <w:szCs w:val="20"/>
              </w:rPr>
              <w:t>14</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6E025666" w14:textId="77777777" w:rsidR="00501FB8" w:rsidRDefault="00F63BB8">
            <w:pPr>
              <w:spacing w:line="276" w:lineRule="auto"/>
              <w:jc w:val="center"/>
              <w:rPr>
                <w:rFonts w:eastAsia="Arial" w:cs="Arial"/>
                <w:sz w:val="20"/>
                <w:szCs w:val="20"/>
              </w:rPr>
            </w:pPr>
            <w:r>
              <w:rPr>
                <w:rFonts w:eastAsia="Arial" w:cs="Arial"/>
                <w:sz w:val="20"/>
                <w:szCs w:val="20"/>
              </w:rPr>
              <w:t>15</w:t>
            </w:r>
          </w:p>
        </w:tc>
      </w:tr>
      <w:tr w:rsidR="00501FB8" w14:paraId="59AB99AA" w14:textId="77777777">
        <w:trPr>
          <w:trHeight w:val="990"/>
        </w:trPr>
        <w:tc>
          <w:tcPr>
            <w:tcW w:w="22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FCF284" w14:textId="77777777" w:rsidR="00501FB8" w:rsidRDefault="00F63BB8">
            <w:pPr>
              <w:spacing w:line="276" w:lineRule="auto"/>
              <w:jc w:val="center"/>
              <w:rPr>
                <w:rFonts w:eastAsia="Arial" w:cs="Arial"/>
                <w:sz w:val="20"/>
                <w:szCs w:val="20"/>
              </w:rPr>
            </w:pPr>
            <w:r>
              <w:rPr>
                <w:rFonts w:eastAsia="Arial" w:cs="Arial"/>
                <w:sz w:val="20"/>
                <w:szCs w:val="20"/>
              </w:rPr>
              <w:t>K. - Installations relevant à la fois des A, B et D</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4AF08E6A"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099457E5" w14:textId="77777777" w:rsidR="00501FB8" w:rsidRDefault="00F63BB8">
            <w:pPr>
              <w:spacing w:line="276" w:lineRule="auto"/>
              <w:jc w:val="center"/>
              <w:rPr>
                <w:rFonts w:eastAsia="Arial" w:cs="Arial"/>
                <w:sz w:val="20"/>
                <w:szCs w:val="20"/>
              </w:rPr>
            </w:pPr>
            <w:r>
              <w:rPr>
                <w:rFonts w:eastAsia="Arial" w:cs="Arial"/>
                <w:sz w:val="20"/>
                <w:szCs w:val="20"/>
              </w:rPr>
              <w:t>9</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1AFCA870" w14:textId="77777777" w:rsidR="00501FB8" w:rsidRDefault="00F63BB8">
            <w:pPr>
              <w:spacing w:line="276" w:lineRule="auto"/>
              <w:jc w:val="center"/>
              <w:rPr>
                <w:rFonts w:eastAsia="Arial" w:cs="Arial"/>
                <w:sz w:val="20"/>
                <w:szCs w:val="20"/>
              </w:rPr>
            </w:pPr>
            <w:r>
              <w:rPr>
                <w:rFonts w:eastAsia="Arial" w:cs="Arial"/>
                <w:sz w:val="20"/>
                <w:szCs w:val="20"/>
              </w:rPr>
              <w:t>12</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69D685A9" w14:textId="77777777" w:rsidR="00501FB8" w:rsidRDefault="00F63BB8">
            <w:pPr>
              <w:spacing w:line="276" w:lineRule="auto"/>
              <w:jc w:val="center"/>
              <w:rPr>
                <w:rFonts w:eastAsia="Arial" w:cs="Arial"/>
                <w:sz w:val="20"/>
                <w:szCs w:val="20"/>
              </w:rPr>
            </w:pPr>
            <w:r>
              <w:rPr>
                <w:rFonts w:eastAsia="Arial" w:cs="Arial"/>
                <w:sz w:val="20"/>
                <w:szCs w:val="20"/>
              </w:rPr>
              <w:t>13</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65D28E57" w14:textId="77777777" w:rsidR="00501FB8" w:rsidRDefault="00F63BB8">
            <w:pPr>
              <w:spacing w:line="276" w:lineRule="auto"/>
              <w:jc w:val="center"/>
              <w:rPr>
                <w:rFonts w:eastAsia="Arial" w:cs="Arial"/>
                <w:sz w:val="20"/>
                <w:szCs w:val="20"/>
              </w:rPr>
            </w:pPr>
            <w:r>
              <w:rPr>
                <w:rFonts w:eastAsia="Arial" w:cs="Arial"/>
                <w:sz w:val="20"/>
                <w:szCs w:val="20"/>
              </w:rPr>
              <w:t>20</w:t>
            </w:r>
          </w:p>
        </w:tc>
      </w:tr>
      <w:tr w:rsidR="00501FB8" w14:paraId="2ECFC6B1" w14:textId="77777777">
        <w:trPr>
          <w:trHeight w:val="1230"/>
        </w:trPr>
        <w:tc>
          <w:tcPr>
            <w:tcW w:w="22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2E47A" w14:textId="77777777" w:rsidR="00501FB8" w:rsidRDefault="00F63BB8">
            <w:pPr>
              <w:spacing w:line="276" w:lineRule="auto"/>
              <w:jc w:val="center"/>
              <w:rPr>
                <w:rFonts w:eastAsia="Arial" w:cs="Arial"/>
                <w:sz w:val="20"/>
                <w:szCs w:val="20"/>
              </w:rPr>
            </w:pPr>
            <w:r>
              <w:rPr>
                <w:rFonts w:eastAsia="Arial" w:cs="Arial"/>
                <w:sz w:val="20"/>
                <w:szCs w:val="20"/>
              </w:rPr>
              <w:t>L. - Installations relevant à la fois des A, C et D ou relevant à la fois des B, C et D</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6673EE5D"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088C6205" w14:textId="77777777" w:rsidR="00501FB8" w:rsidRDefault="00F63BB8">
            <w:pPr>
              <w:spacing w:line="276" w:lineRule="auto"/>
              <w:jc w:val="center"/>
              <w:rPr>
                <w:rFonts w:eastAsia="Arial" w:cs="Arial"/>
                <w:sz w:val="20"/>
                <w:szCs w:val="20"/>
              </w:rPr>
            </w:pPr>
            <w:r>
              <w:rPr>
                <w:rFonts w:eastAsia="Arial" w:cs="Arial"/>
                <w:sz w:val="20"/>
                <w:szCs w:val="20"/>
              </w:rPr>
              <w:t>5</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0C991371" w14:textId="77777777" w:rsidR="00501FB8" w:rsidRDefault="00F63BB8">
            <w:pPr>
              <w:spacing w:line="276" w:lineRule="auto"/>
              <w:jc w:val="center"/>
              <w:rPr>
                <w:rFonts w:eastAsia="Arial" w:cs="Arial"/>
                <w:sz w:val="20"/>
                <w:szCs w:val="20"/>
              </w:rPr>
            </w:pPr>
            <w:r>
              <w:rPr>
                <w:rFonts w:eastAsia="Arial" w:cs="Arial"/>
                <w:sz w:val="20"/>
                <w:szCs w:val="20"/>
              </w:rPr>
              <w:t>6</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678B7D50" w14:textId="77777777" w:rsidR="00501FB8" w:rsidRDefault="00F63BB8">
            <w:pPr>
              <w:spacing w:line="276" w:lineRule="auto"/>
              <w:jc w:val="center"/>
              <w:rPr>
                <w:rFonts w:eastAsia="Arial" w:cs="Arial"/>
                <w:sz w:val="20"/>
                <w:szCs w:val="20"/>
              </w:rPr>
            </w:pPr>
            <w:r>
              <w:rPr>
                <w:rFonts w:eastAsia="Arial" w:cs="Arial"/>
                <w:sz w:val="20"/>
                <w:szCs w:val="20"/>
              </w:rPr>
              <w:t>7</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6D5346CB" w14:textId="77777777" w:rsidR="00501FB8" w:rsidRDefault="00F63BB8">
            <w:pPr>
              <w:spacing w:line="276" w:lineRule="auto"/>
              <w:jc w:val="center"/>
              <w:rPr>
                <w:rFonts w:eastAsia="Arial" w:cs="Arial"/>
                <w:sz w:val="20"/>
                <w:szCs w:val="20"/>
              </w:rPr>
            </w:pPr>
            <w:r>
              <w:rPr>
                <w:rFonts w:eastAsia="Arial" w:cs="Arial"/>
                <w:sz w:val="20"/>
                <w:szCs w:val="20"/>
              </w:rPr>
              <w:t>10</w:t>
            </w:r>
          </w:p>
        </w:tc>
      </w:tr>
      <w:tr w:rsidR="00501FB8" w14:paraId="626DA126" w14:textId="77777777">
        <w:trPr>
          <w:trHeight w:val="960"/>
        </w:trPr>
        <w:tc>
          <w:tcPr>
            <w:tcW w:w="22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065255" w14:textId="77777777" w:rsidR="00501FB8" w:rsidRDefault="00F63BB8">
            <w:pPr>
              <w:spacing w:line="276" w:lineRule="auto"/>
              <w:jc w:val="center"/>
              <w:rPr>
                <w:rFonts w:eastAsia="Arial" w:cs="Arial"/>
                <w:sz w:val="20"/>
                <w:szCs w:val="20"/>
              </w:rPr>
            </w:pPr>
            <w:r>
              <w:rPr>
                <w:rFonts w:eastAsia="Arial" w:cs="Arial"/>
                <w:sz w:val="20"/>
                <w:szCs w:val="20"/>
              </w:rPr>
              <w:t>M. - Installations relevant à la fois des A, B, C et D</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31918582"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36BBA52B" w14:textId="77777777" w:rsidR="00501FB8" w:rsidRDefault="00F63BB8">
            <w:pPr>
              <w:spacing w:line="276" w:lineRule="auto"/>
              <w:jc w:val="center"/>
              <w:rPr>
                <w:rFonts w:eastAsia="Arial" w:cs="Arial"/>
                <w:sz w:val="20"/>
                <w:szCs w:val="20"/>
              </w:rPr>
            </w:pPr>
            <w:r>
              <w:rPr>
                <w:rFonts w:eastAsia="Arial" w:cs="Arial"/>
                <w:sz w:val="20"/>
                <w:szCs w:val="20"/>
              </w:rPr>
              <w:t>3</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57BC2D66" w14:textId="77777777" w:rsidR="00501FB8" w:rsidRDefault="00F63BB8">
            <w:pPr>
              <w:spacing w:line="276" w:lineRule="auto"/>
              <w:jc w:val="center"/>
              <w:rPr>
                <w:rFonts w:eastAsia="Arial" w:cs="Arial"/>
                <w:sz w:val="20"/>
                <w:szCs w:val="20"/>
              </w:rPr>
            </w:pPr>
            <w:r>
              <w:rPr>
                <w:rFonts w:eastAsia="Arial" w:cs="Arial"/>
                <w:sz w:val="20"/>
                <w:szCs w:val="20"/>
              </w:rPr>
              <w:t>5</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69268688" w14:textId="77777777" w:rsidR="00501FB8" w:rsidRDefault="00F63BB8">
            <w:pPr>
              <w:spacing w:line="276" w:lineRule="auto"/>
              <w:jc w:val="center"/>
              <w:rPr>
                <w:rFonts w:eastAsia="Arial" w:cs="Arial"/>
                <w:sz w:val="20"/>
                <w:szCs w:val="20"/>
              </w:rPr>
            </w:pPr>
            <w:r>
              <w:rPr>
                <w:rFonts w:eastAsia="Arial" w:cs="Arial"/>
                <w:sz w:val="20"/>
                <w:szCs w:val="20"/>
              </w:rPr>
              <w:t>6</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0603FF81" w14:textId="77777777" w:rsidR="00501FB8" w:rsidRDefault="00F63BB8">
            <w:pPr>
              <w:spacing w:line="276" w:lineRule="auto"/>
              <w:jc w:val="center"/>
              <w:rPr>
                <w:rFonts w:eastAsia="Arial" w:cs="Arial"/>
                <w:sz w:val="20"/>
                <w:szCs w:val="20"/>
              </w:rPr>
            </w:pPr>
            <w:r>
              <w:rPr>
                <w:rFonts w:eastAsia="Arial" w:cs="Arial"/>
                <w:sz w:val="20"/>
                <w:szCs w:val="20"/>
              </w:rPr>
              <w:t>10</w:t>
            </w:r>
          </w:p>
        </w:tc>
      </w:tr>
      <w:tr w:rsidR="00501FB8" w14:paraId="6D41A0E4" w14:textId="77777777">
        <w:trPr>
          <w:trHeight w:val="3090"/>
        </w:trPr>
        <w:tc>
          <w:tcPr>
            <w:tcW w:w="22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C0BDE" w14:textId="77777777" w:rsidR="00501FB8" w:rsidRDefault="00F63BB8">
            <w:pPr>
              <w:spacing w:line="276" w:lineRule="auto"/>
              <w:jc w:val="center"/>
              <w:rPr>
                <w:rFonts w:eastAsia="Arial" w:cs="Arial"/>
                <w:sz w:val="20"/>
                <w:szCs w:val="20"/>
              </w:rPr>
            </w:pPr>
            <w:r>
              <w:rPr>
                <w:rFonts w:eastAsia="Arial" w:cs="Arial"/>
                <w:sz w:val="20"/>
                <w:szCs w:val="20"/>
              </w:rPr>
              <w:t>N. - Installations autorisées dont le rendement énergétique est supérieur ou égal à 0,70 et réalisant une valorisation énergétique des résidus à haut pouvoir calorifique qui sont issus des opérations de tri performants</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08F00E0E"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7C57F0B8" w14:textId="77777777" w:rsidR="00501FB8" w:rsidRDefault="00F63BB8">
            <w:pPr>
              <w:spacing w:line="276" w:lineRule="auto"/>
              <w:jc w:val="center"/>
              <w:rPr>
                <w:rFonts w:eastAsia="Arial" w:cs="Arial"/>
                <w:sz w:val="20"/>
                <w:szCs w:val="20"/>
              </w:rPr>
            </w:pPr>
            <w:r>
              <w:rPr>
                <w:rFonts w:eastAsia="Arial" w:cs="Arial"/>
                <w:sz w:val="20"/>
                <w:szCs w:val="20"/>
              </w:rPr>
              <w:t>5,5</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54BAC78A" w14:textId="77777777" w:rsidR="00501FB8" w:rsidRDefault="00F63BB8">
            <w:pPr>
              <w:spacing w:line="276" w:lineRule="auto"/>
              <w:jc w:val="center"/>
              <w:rPr>
                <w:rFonts w:eastAsia="Arial" w:cs="Arial"/>
                <w:sz w:val="20"/>
                <w:szCs w:val="20"/>
              </w:rPr>
            </w:pPr>
            <w:r>
              <w:rPr>
                <w:rFonts w:eastAsia="Arial" w:cs="Arial"/>
                <w:sz w:val="20"/>
                <w:szCs w:val="20"/>
              </w:rPr>
              <w:t>6</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1C85ED59" w14:textId="77777777" w:rsidR="00501FB8" w:rsidRDefault="00F63BB8">
            <w:pPr>
              <w:spacing w:line="276" w:lineRule="auto"/>
              <w:jc w:val="center"/>
              <w:rPr>
                <w:rFonts w:eastAsia="Arial" w:cs="Arial"/>
                <w:sz w:val="20"/>
                <w:szCs w:val="20"/>
              </w:rPr>
            </w:pPr>
            <w:r>
              <w:rPr>
                <w:rFonts w:eastAsia="Arial" w:cs="Arial"/>
                <w:sz w:val="20"/>
                <w:szCs w:val="20"/>
              </w:rPr>
              <w:t>7</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58EF3E9B" w14:textId="77777777" w:rsidR="00501FB8" w:rsidRDefault="00F63BB8">
            <w:pPr>
              <w:spacing w:line="276" w:lineRule="auto"/>
              <w:jc w:val="center"/>
              <w:rPr>
                <w:rFonts w:eastAsia="Arial" w:cs="Arial"/>
                <w:sz w:val="20"/>
                <w:szCs w:val="20"/>
              </w:rPr>
            </w:pPr>
            <w:r>
              <w:rPr>
                <w:rFonts w:eastAsia="Arial" w:cs="Arial"/>
                <w:sz w:val="20"/>
                <w:szCs w:val="20"/>
              </w:rPr>
              <w:t>7,5</w:t>
            </w:r>
          </w:p>
        </w:tc>
      </w:tr>
      <w:tr w:rsidR="00501FB8" w14:paraId="1B66579B" w14:textId="77777777">
        <w:trPr>
          <w:trHeight w:val="720"/>
        </w:trPr>
        <w:tc>
          <w:tcPr>
            <w:tcW w:w="22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629D7" w14:textId="77777777" w:rsidR="00501FB8" w:rsidRDefault="00F63BB8">
            <w:pPr>
              <w:spacing w:line="276" w:lineRule="auto"/>
              <w:jc w:val="center"/>
              <w:rPr>
                <w:rFonts w:eastAsia="Arial" w:cs="Arial"/>
                <w:sz w:val="20"/>
                <w:szCs w:val="20"/>
              </w:rPr>
            </w:pPr>
            <w:r>
              <w:rPr>
                <w:rFonts w:eastAsia="Arial" w:cs="Arial"/>
                <w:sz w:val="20"/>
                <w:szCs w:val="20"/>
              </w:rPr>
              <w:t>O. - Autres installations autorisées</w:t>
            </w:r>
          </w:p>
        </w:tc>
        <w:tc>
          <w:tcPr>
            <w:tcW w:w="1335" w:type="dxa"/>
            <w:tcBorders>
              <w:bottom w:val="single" w:sz="8" w:space="0" w:color="000000"/>
              <w:right w:val="single" w:sz="8" w:space="0" w:color="000000"/>
            </w:tcBorders>
            <w:shd w:val="clear" w:color="auto" w:fill="auto"/>
            <w:tcMar>
              <w:top w:w="100" w:type="dxa"/>
              <w:left w:w="100" w:type="dxa"/>
              <w:bottom w:w="100" w:type="dxa"/>
              <w:right w:w="100" w:type="dxa"/>
            </w:tcMar>
          </w:tcPr>
          <w:p w14:paraId="123FDCDF" w14:textId="77777777" w:rsidR="00501FB8" w:rsidRDefault="00F63BB8">
            <w:pPr>
              <w:spacing w:line="276" w:lineRule="auto"/>
              <w:jc w:val="center"/>
              <w:rPr>
                <w:rFonts w:eastAsia="Arial" w:cs="Arial"/>
                <w:sz w:val="20"/>
                <w:szCs w:val="20"/>
              </w:rPr>
            </w:pPr>
            <w:r>
              <w:rPr>
                <w:rFonts w:eastAsia="Arial" w:cs="Arial"/>
                <w:sz w:val="20"/>
                <w:szCs w:val="20"/>
              </w:rPr>
              <w:t>Tonne</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37092098" w14:textId="77777777" w:rsidR="00501FB8" w:rsidRDefault="00F63BB8">
            <w:pPr>
              <w:spacing w:line="276" w:lineRule="auto"/>
              <w:jc w:val="center"/>
              <w:rPr>
                <w:rFonts w:eastAsia="Arial" w:cs="Arial"/>
                <w:sz w:val="20"/>
                <w:szCs w:val="20"/>
              </w:rPr>
            </w:pPr>
            <w:r>
              <w:rPr>
                <w:rFonts w:eastAsia="Arial" w:cs="Arial"/>
                <w:sz w:val="20"/>
                <w:szCs w:val="20"/>
              </w:rPr>
              <w:t>22</w:t>
            </w:r>
          </w:p>
        </w:tc>
        <w:tc>
          <w:tcPr>
            <w:tcW w:w="870" w:type="dxa"/>
            <w:tcBorders>
              <w:bottom w:val="single" w:sz="8" w:space="0" w:color="000000"/>
              <w:right w:val="single" w:sz="8" w:space="0" w:color="000000"/>
            </w:tcBorders>
            <w:shd w:val="clear" w:color="auto" w:fill="auto"/>
            <w:tcMar>
              <w:top w:w="100" w:type="dxa"/>
              <w:left w:w="100" w:type="dxa"/>
              <w:bottom w:w="100" w:type="dxa"/>
              <w:right w:w="100" w:type="dxa"/>
            </w:tcMar>
          </w:tcPr>
          <w:p w14:paraId="743428EE" w14:textId="77777777" w:rsidR="00501FB8" w:rsidRDefault="00F63BB8">
            <w:pPr>
              <w:spacing w:line="276" w:lineRule="auto"/>
              <w:jc w:val="center"/>
              <w:rPr>
                <w:rFonts w:eastAsia="Arial" w:cs="Arial"/>
                <w:sz w:val="20"/>
                <w:szCs w:val="20"/>
              </w:rPr>
            </w:pPr>
            <w:r>
              <w:rPr>
                <w:rFonts w:eastAsia="Arial" w:cs="Arial"/>
                <w:sz w:val="20"/>
                <w:szCs w:val="20"/>
              </w:rPr>
              <w:t>23</w:t>
            </w:r>
          </w:p>
        </w:tc>
        <w:tc>
          <w:tcPr>
            <w:tcW w:w="795" w:type="dxa"/>
            <w:tcBorders>
              <w:bottom w:val="single" w:sz="8" w:space="0" w:color="000000"/>
              <w:right w:val="single" w:sz="8" w:space="0" w:color="000000"/>
            </w:tcBorders>
            <w:shd w:val="clear" w:color="auto" w:fill="auto"/>
            <w:tcMar>
              <w:top w:w="100" w:type="dxa"/>
              <w:left w:w="100" w:type="dxa"/>
              <w:bottom w:w="100" w:type="dxa"/>
              <w:right w:w="100" w:type="dxa"/>
            </w:tcMar>
          </w:tcPr>
          <w:p w14:paraId="101317C4" w14:textId="77777777" w:rsidR="00501FB8" w:rsidRDefault="00F63BB8">
            <w:pPr>
              <w:spacing w:line="276" w:lineRule="auto"/>
              <w:jc w:val="center"/>
              <w:rPr>
                <w:rFonts w:eastAsia="Arial" w:cs="Arial"/>
                <w:sz w:val="20"/>
                <w:szCs w:val="20"/>
              </w:rPr>
            </w:pPr>
            <w:r>
              <w:rPr>
                <w:rFonts w:eastAsia="Arial" w:cs="Arial"/>
                <w:sz w:val="20"/>
                <w:szCs w:val="20"/>
              </w:rPr>
              <w:t>24</w:t>
            </w:r>
          </w:p>
        </w:tc>
        <w:tc>
          <w:tcPr>
            <w:tcW w:w="2400" w:type="dxa"/>
            <w:tcBorders>
              <w:bottom w:val="single" w:sz="8" w:space="0" w:color="000000"/>
              <w:right w:val="single" w:sz="8" w:space="0" w:color="000000"/>
            </w:tcBorders>
            <w:shd w:val="clear" w:color="auto" w:fill="auto"/>
            <w:tcMar>
              <w:top w:w="100" w:type="dxa"/>
              <w:left w:w="100" w:type="dxa"/>
              <w:bottom w:w="100" w:type="dxa"/>
              <w:right w:w="100" w:type="dxa"/>
            </w:tcMar>
          </w:tcPr>
          <w:p w14:paraId="478383DC" w14:textId="77777777" w:rsidR="00501FB8" w:rsidRDefault="00F63BB8">
            <w:pPr>
              <w:spacing w:line="276" w:lineRule="auto"/>
              <w:jc w:val="center"/>
              <w:rPr>
                <w:rFonts w:eastAsia="Arial" w:cs="Arial"/>
                <w:sz w:val="20"/>
                <w:szCs w:val="20"/>
              </w:rPr>
            </w:pPr>
            <w:r>
              <w:rPr>
                <w:rFonts w:eastAsia="Arial" w:cs="Arial"/>
                <w:sz w:val="20"/>
                <w:szCs w:val="20"/>
              </w:rPr>
              <w:t>25</w:t>
            </w:r>
          </w:p>
        </w:tc>
      </w:tr>
    </w:tbl>
    <w:p w14:paraId="403B9021" w14:textId="77777777" w:rsidR="00501FB8" w:rsidRDefault="00F63BB8">
      <w:pPr>
        <w:spacing w:line="276" w:lineRule="auto"/>
        <w:jc w:val="center"/>
        <w:rPr>
          <w:rFonts w:eastAsia="Arial" w:cs="Arial"/>
          <w:szCs w:val="22"/>
        </w:rPr>
      </w:pPr>
      <w:r>
        <w:rPr>
          <w:rFonts w:eastAsia="Arial" w:cs="Arial"/>
          <w:szCs w:val="22"/>
        </w:rPr>
        <w:t xml:space="preserve"> </w:t>
      </w:r>
    </w:p>
    <w:p w14:paraId="48150C04" w14:textId="77777777" w:rsidR="00501FB8" w:rsidRDefault="00F63BB8">
      <w:pPr>
        <w:spacing w:line="276" w:lineRule="auto"/>
        <w:jc w:val="both"/>
        <w:rPr>
          <w:rFonts w:eastAsia="Arial" w:cs="Arial"/>
          <w:szCs w:val="22"/>
        </w:rPr>
      </w:pPr>
      <w:r>
        <w:rPr>
          <w:rFonts w:eastAsia="Arial" w:cs="Arial"/>
          <w:szCs w:val="22"/>
        </w:rPr>
        <w:t xml:space="preserve">III. En conséquence, compléter l’article 266 </w:t>
      </w:r>
      <w:proofErr w:type="spellStart"/>
      <w:r>
        <w:rPr>
          <w:rFonts w:eastAsia="Arial" w:cs="Arial"/>
          <w:szCs w:val="22"/>
        </w:rPr>
        <w:t>nonies</w:t>
      </w:r>
      <w:proofErr w:type="spellEnd"/>
      <w:r>
        <w:rPr>
          <w:rFonts w:eastAsia="Arial" w:cs="Arial"/>
          <w:szCs w:val="22"/>
        </w:rPr>
        <w:t xml:space="preserve"> par l’alinéa suivant :</w:t>
      </w:r>
    </w:p>
    <w:p w14:paraId="6A7AE0F9" w14:textId="77777777" w:rsidR="00501FB8" w:rsidRDefault="00F63BB8">
      <w:pPr>
        <w:spacing w:line="276" w:lineRule="auto"/>
        <w:jc w:val="both"/>
        <w:rPr>
          <w:rFonts w:eastAsia="Arial" w:cs="Arial"/>
          <w:szCs w:val="22"/>
        </w:rPr>
      </w:pPr>
      <w:r>
        <w:rPr>
          <w:rFonts w:eastAsia="Arial" w:cs="Arial"/>
          <w:szCs w:val="22"/>
        </w:rPr>
        <w:t xml:space="preserve">Les tarifs mentionnés aux lignes D, F et G du tableau du deuxième alinéa au a </w:t>
      </w:r>
      <w:proofErr w:type="spellStart"/>
      <w:r>
        <w:rPr>
          <w:rFonts w:eastAsia="Arial" w:cs="Arial"/>
          <w:szCs w:val="22"/>
        </w:rPr>
        <w:t>du</w:t>
      </w:r>
      <w:proofErr w:type="spellEnd"/>
      <w:r>
        <w:rPr>
          <w:rFonts w:eastAsia="Arial" w:cs="Arial"/>
          <w:szCs w:val="22"/>
        </w:rPr>
        <w:t xml:space="preserve"> A du 1, et aux des lignes D, H, I, K, L, M du tableau du deuxième alinéa du b du A du 1 ne s’appliquent qu’aux déchets réceptionnés par l’installation concernée qui sont détenus par la collectivité ou son groupement, ou par l’entreprise, performante en matière de gestion des déchets.</w:t>
      </w:r>
    </w:p>
    <w:p w14:paraId="0715A367" w14:textId="77777777" w:rsidR="00501FB8" w:rsidRDefault="00F63BB8">
      <w:pPr>
        <w:spacing w:line="276" w:lineRule="auto"/>
        <w:jc w:val="center"/>
        <w:rPr>
          <w:rFonts w:eastAsia="Arial" w:cs="Arial"/>
          <w:szCs w:val="22"/>
        </w:rPr>
      </w:pPr>
      <w:r>
        <w:rPr>
          <w:rFonts w:eastAsia="Arial" w:cs="Arial"/>
          <w:szCs w:val="22"/>
        </w:rPr>
        <w:t xml:space="preserve"> </w:t>
      </w:r>
    </w:p>
    <w:p w14:paraId="642A4BF5" w14:textId="77777777" w:rsidR="00501FB8" w:rsidRDefault="00F63BB8">
      <w:pPr>
        <w:spacing w:line="276" w:lineRule="auto"/>
        <w:jc w:val="both"/>
        <w:rPr>
          <w:rFonts w:eastAsia="Arial" w:cs="Arial"/>
          <w:szCs w:val="22"/>
        </w:rPr>
      </w:pPr>
      <w:r>
        <w:rPr>
          <w:rFonts w:eastAsia="Arial" w:cs="Arial"/>
          <w:szCs w:val="22"/>
        </w:rPr>
        <w:t xml:space="preserve">IIII. En conséquence, compléter l’article 266 </w:t>
      </w:r>
      <w:proofErr w:type="spellStart"/>
      <w:r>
        <w:rPr>
          <w:rFonts w:eastAsia="Arial" w:cs="Arial"/>
          <w:szCs w:val="22"/>
        </w:rPr>
        <w:t>nonies</w:t>
      </w:r>
      <w:proofErr w:type="spellEnd"/>
      <w:r>
        <w:rPr>
          <w:rFonts w:eastAsia="Arial" w:cs="Arial"/>
          <w:szCs w:val="22"/>
        </w:rPr>
        <w:t xml:space="preserve"> par les alinéas suivants :</w:t>
      </w:r>
    </w:p>
    <w:p w14:paraId="45B0CFEB" w14:textId="77777777" w:rsidR="00501FB8" w:rsidRDefault="00F63BB8">
      <w:pPr>
        <w:spacing w:line="276" w:lineRule="auto"/>
        <w:jc w:val="both"/>
        <w:rPr>
          <w:rFonts w:eastAsia="Arial" w:cs="Arial"/>
          <w:szCs w:val="22"/>
        </w:rPr>
      </w:pPr>
      <w:r>
        <w:rPr>
          <w:rFonts w:eastAsia="Arial" w:cs="Arial"/>
          <w:szCs w:val="22"/>
        </w:rPr>
        <w:lastRenderedPageBreak/>
        <w:t xml:space="preserve">Pour l’application des tarifs mentionnés aux lignes D, F et G du tableau du deuxième alinéa au a </w:t>
      </w:r>
      <w:proofErr w:type="spellStart"/>
      <w:r>
        <w:rPr>
          <w:rFonts w:eastAsia="Arial" w:cs="Arial"/>
          <w:szCs w:val="22"/>
        </w:rPr>
        <w:t>du</w:t>
      </w:r>
      <w:proofErr w:type="spellEnd"/>
      <w:r>
        <w:rPr>
          <w:rFonts w:eastAsia="Arial" w:cs="Arial"/>
          <w:szCs w:val="22"/>
        </w:rPr>
        <w:t xml:space="preserve"> A du 1, et aux des lignes D, H, I, K, L, M du tableau du deuxième alinéa du b du A du 1, les collectivités ou leur groupement et les entreprises performants en matière de gestion des déchets sont ceux qui, pour une année de référence, envoient en installation de stockage de déchets non dangereux une quantité de déchets, mesurée en tonnes, inférieure de 50% à la quantité de déchets qu’ils ont envoyé dans des installations du même type en 2010.</w:t>
      </w:r>
    </w:p>
    <w:p w14:paraId="2B254303" w14:textId="77777777" w:rsidR="00501FB8" w:rsidRDefault="00F63BB8">
      <w:pPr>
        <w:spacing w:line="276" w:lineRule="auto"/>
        <w:jc w:val="center"/>
        <w:rPr>
          <w:rFonts w:eastAsia="Arial" w:cs="Arial"/>
          <w:szCs w:val="22"/>
        </w:rPr>
      </w:pPr>
      <w:r>
        <w:rPr>
          <w:rFonts w:eastAsia="Arial" w:cs="Arial"/>
          <w:szCs w:val="22"/>
        </w:rPr>
        <w:t xml:space="preserve"> </w:t>
      </w:r>
    </w:p>
    <w:p w14:paraId="4F889F5C" w14:textId="77777777" w:rsidR="00501FB8" w:rsidRDefault="00F63BB8">
      <w:pPr>
        <w:spacing w:line="276" w:lineRule="auto"/>
        <w:jc w:val="both"/>
        <w:rPr>
          <w:rFonts w:eastAsia="Arial" w:cs="Arial"/>
          <w:szCs w:val="22"/>
        </w:rPr>
      </w:pPr>
      <w:r>
        <w:rPr>
          <w:rFonts w:eastAsia="Arial" w:cs="Arial"/>
          <w:szCs w:val="22"/>
        </w:rPr>
        <w:t xml:space="preserve">Un arrêté conjoint des ministres chargés du budget et de l’environnement précise les modalités d’application des tarifs mentionnés aux lignes D, F et G du tableau du deuxième alinéa au a </w:t>
      </w:r>
      <w:proofErr w:type="spellStart"/>
      <w:r>
        <w:rPr>
          <w:rFonts w:eastAsia="Arial" w:cs="Arial"/>
          <w:szCs w:val="22"/>
        </w:rPr>
        <w:t>du</w:t>
      </w:r>
      <w:proofErr w:type="spellEnd"/>
      <w:r>
        <w:rPr>
          <w:rFonts w:eastAsia="Arial" w:cs="Arial"/>
          <w:szCs w:val="22"/>
        </w:rPr>
        <w:t xml:space="preserve"> A du 1, et aux des lignes D, H, I, K, L, M du tableau du deuxième alinéa du b du A du 1.</w:t>
      </w:r>
    </w:p>
    <w:p w14:paraId="47565B06" w14:textId="77777777" w:rsidR="00501FB8" w:rsidRDefault="00F63BB8">
      <w:pPr>
        <w:spacing w:line="276" w:lineRule="auto"/>
        <w:jc w:val="both"/>
        <w:rPr>
          <w:rFonts w:eastAsia="Arial" w:cs="Arial"/>
          <w:szCs w:val="22"/>
        </w:rPr>
      </w:pPr>
      <w:r>
        <w:rPr>
          <w:rFonts w:eastAsia="Arial" w:cs="Arial"/>
          <w:szCs w:val="22"/>
        </w:rPr>
        <w:t xml:space="preserve"> </w:t>
      </w:r>
    </w:p>
    <w:p w14:paraId="56EEBD69" w14:textId="77777777" w:rsidR="00501FB8" w:rsidRDefault="00F63BB8">
      <w:pPr>
        <w:spacing w:line="276" w:lineRule="auto"/>
        <w:jc w:val="both"/>
        <w:rPr>
          <w:rFonts w:eastAsia="Arial" w:cs="Arial"/>
          <w:szCs w:val="22"/>
        </w:rPr>
      </w:pPr>
      <w:r>
        <w:rPr>
          <w:rFonts w:eastAsia="Arial" w:cs="Arial"/>
          <w:szCs w:val="22"/>
        </w:rPr>
        <w:t>IV. La perte de recettes pour l’État est compensée, à due concurrence, par la création d’une taxe additionnelle aux droits prévus aux articles 575 et 575 A du code général des impôts.</w:t>
      </w:r>
    </w:p>
    <w:p w14:paraId="1FE542E2" w14:textId="77777777" w:rsidR="00501FB8" w:rsidRDefault="00F63BB8">
      <w:pPr>
        <w:spacing w:line="276" w:lineRule="auto"/>
        <w:jc w:val="center"/>
        <w:rPr>
          <w:rFonts w:eastAsia="Arial" w:cs="Arial"/>
          <w:szCs w:val="22"/>
        </w:rPr>
      </w:pPr>
      <w:r>
        <w:rPr>
          <w:rFonts w:eastAsia="Arial" w:cs="Arial"/>
          <w:szCs w:val="22"/>
        </w:rPr>
        <w:t xml:space="preserve"> </w:t>
      </w:r>
    </w:p>
    <w:p w14:paraId="3943947F" w14:textId="219A2950" w:rsidR="00501FB8" w:rsidRPr="00F46E87" w:rsidRDefault="00F46E87">
      <w:pPr>
        <w:spacing w:line="276" w:lineRule="auto"/>
        <w:jc w:val="center"/>
        <w:rPr>
          <w:rFonts w:eastAsia="Arial" w:cs="Arial"/>
          <w:b/>
          <w:szCs w:val="22"/>
        </w:rPr>
      </w:pPr>
      <w:r w:rsidRPr="00F46E87">
        <w:rPr>
          <w:rFonts w:eastAsia="Arial" w:cs="Arial"/>
          <w:b/>
          <w:szCs w:val="22"/>
        </w:rPr>
        <w:t>Exposé sommaire</w:t>
      </w:r>
    </w:p>
    <w:p w14:paraId="70A48F0C" w14:textId="77777777" w:rsidR="00501FB8" w:rsidRDefault="00F63BB8">
      <w:pPr>
        <w:spacing w:line="276" w:lineRule="auto"/>
        <w:jc w:val="center"/>
        <w:rPr>
          <w:rFonts w:eastAsia="Arial" w:cs="Arial"/>
          <w:szCs w:val="22"/>
        </w:rPr>
      </w:pPr>
      <w:r>
        <w:rPr>
          <w:rFonts w:eastAsia="Arial" w:cs="Arial"/>
          <w:szCs w:val="22"/>
        </w:rPr>
        <w:t xml:space="preserve"> </w:t>
      </w:r>
    </w:p>
    <w:p w14:paraId="7410A110" w14:textId="77777777" w:rsidR="00501FB8" w:rsidRDefault="00F63BB8">
      <w:pPr>
        <w:spacing w:line="276" w:lineRule="auto"/>
        <w:jc w:val="both"/>
        <w:rPr>
          <w:rFonts w:eastAsia="Arial" w:cs="Arial"/>
          <w:szCs w:val="22"/>
        </w:rPr>
      </w:pPr>
      <w:r>
        <w:rPr>
          <w:rFonts w:eastAsia="Arial" w:cs="Arial"/>
          <w:szCs w:val="22"/>
        </w:rPr>
        <w:t>Actuellement, la TGAP fonctionne comme une taxe essentiellement punitive, qui pénalise les collectivités et les entreprises responsables de la gestion des déchets lorsqu’elles sont contraintes de traiter un déchet dans leurs installations de traitement thermique ou de stockage. La nouvelle augmentation de la TGAP proposée par le gouvernement fonctionnera de la même manière. Elle pénaliserait en premier lieu les collectivités, qui sont déjà lourdement taxées sur la gestion des déchets (25 % du coût du service public).</w:t>
      </w:r>
    </w:p>
    <w:p w14:paraId="3CFFDD9F" w14:textId="77777777" w:rsidR="00501FB8" w:rsidRDefault="00F63BB8">
      <w:pPr>
        <w:spacing w:line="276" w:lineRule="auto"/>
        <w:jc w:val="both"/>
        <w:rPr>
          <w:rFonts w:eastAsia="Arial" w:cs="Arial"/>
          <w:szCs w:val="22"/>
        </w:rPr>
      </w:pPr>
      <w:r>
        <w:rPr>
          <w:rFonts w:eastAsia="Arial" w:cs="Arial"/>
          <w:szCs w:val="22"/>
        </w:rPr>
        <w:t xml:space="preserve"> </w:t>
      </w:r>
    </w:p>
    <w:p w14:paraId="3EE5EB83" w14:textId="77777777" w:rsidR="00501FB8" w:rsidRDefault="00F63BB8">
      <w:pPr>
        <w:spacing w:line="276" w:lineRule="auto"/>
        <w:jc w:val="both"/>
        <w:rPr>
          <w:rFonts w:eastAsia="Arial" w:cs="Arial"/>
          <w:szCs w:val="22"/>
        </w:rPr>
      </w:pPr>
      <w:r>
        <w:rPr>
          <w:rFonts w:eastAsia="Arial" w:cs="Arial"/>
          <w:szCs w:val="22"/>
        </w:rPr>
        <w:t>Cet amendement viserait à compléter ce dispositif par un volet incitatif. Il créerait une réfaction de TGAP pour les collectivités qui sont parvenues à atteindre l’objectif de réduction du stockage porté par le gouvernement (division par 2 des déchets envoyés en stockage par rapport à 2010). Cela renforcerait la cohérence du dispositif fiscal en vigueur sur l’élimination des déchets, en maintenant un signal prix sur le stockage et l’incinération pour les collectivités qui n’ont pas atteint leurs objectifs de réduction du stockage, tout en évitant de sanctionner lourdement les collectivités qui ont réalisé les efforts.</w:t>
      </w:r>
      <w:r>
        <w:br w:type="page"/>
      </w:r>
    </w:p>
    <w:p w14:paraId="1588D6C3" w14:textId="77777777" w:rsidR="00501FB8" w:rsidRDefault="00501FB8">
      <w:pPr>
        <w:spacing w:line="276" w:lineRule="auto"/>
        <w:jc w:val="both"/>
        <w:rPr>
          <w:rFonts w:eastAsia="Arial" w:cs="Arial"/>
          <w:szCs w:val="22"/>
        </w:rPr>
      </w:pPr>
    </w:p>
    <w:p w14:paraId="3DA3A5F8" w14:textId="77777777" w:rsidR="00501FB8" w:rsidRDefault="00501FB8">
      <w:pPr>
        <w:jc w:val="center"/>
        <w:rPr>
          <w:rFonts w:eastAsia="Arial" w:cs="Arial"/>
          <w:b/>
          <w:color w:val="6EBC57"/>
          <w:sz w:val="28"/>
          <w:szCs w:val="28"/>
        </w:rPr>
      </w:pPr>
    </w:p>
    <w:p w14:paraId="4A22FE99" w14:textId="77777777" w:rsidR="00501FB8" w:rsidRDefault="00501FB8">
      <w:pPr>
        <w:rPr>
          <w:rFonts w:eastAsia="Arial" w:cs="Arial"/>
          <w:b/>
          <w:szCs w:val="22"/>
        </w:rPr>
      </w:pPr>
    </w:p>
    <w:p w14:paraId="3B8E15D0" w14:textId="77777777" w:rsidR="00501FB8" w:rsidRDefault="00501FB8">
      <w:pPr>
        <w:jc w:val="center"/>
        <w:rPr>
          <w:rFonts w:eastAsia="Arial" w:cs="Arial"/>
          <w:b/>
          <w:szCs w:val="22"/>
        </w:rPr>
      </w:pPr>
    </w:p>
    <w:p w14:paraId="0BD6F56C" w14:textId="626AA432" w:rsidR="00501FB8" w:rsidRPr="00F46E87" w:rsidRDefault="00F63BB8" w:rsidP="00F46E87">
      <w:pPr>
        <w:pStyle w:val="Sansinterligne"/>
        <w:rPr>
          <w:rFonts w:eastAsia="Arial" w:cs="Arial"/>
          <w:szCs w:val="22"/>
        </w:rPr>
      </w:pPr>
      <w:bookmarkStart w:id="41" w:name="_Toc65685024"/>
      <w:bookmarkStart w:id="42" w:name="_Toc65685665"/>
      <w:bookmarkStart w:id="43" w:name="_Toc65687443"/>
      <w:r>
        <w:rPr>
          <w:rFonts w:eastAsia="Arial" w:cs="Arial"/>
          <w:szCs w:val="22"/>
        </w:rPr>
        <w:t xml:space="preserve">Amendement n°9 </w:t>
      </w:r>
      <w:r w:rsidR="00F46E87">
        <w:rPr>
          <w:rFonts w:eastAsia="Arial" w:cs="Arial"/>
          <w:szCs w:val="22"/>
        </w:rPr>
        <w:t>(</w:t>
      </w:r>
      <w:r w:rsidR="00503E7B">
        <w:rPr>
          <w:rFonts w:eastAsia="Arial" w:cs="Arial"/>
          <w:szCs w:val="22"/>
        </w:rPr>
        <w:t>P</w:t>
      </w:r>
      <w:r>
        <w:rPr>
          <w:rFonts w:eastAsia="Arial" w:cs="Arial"/>
          <w:szCs w:val="22"/>
        </w:rPr>
        <w:t>rioritaire</w:t>
      </w:r>
      <w:r w:rsidR="00F46E87">
        <w:rPr>
          <w:rFonts w:eastAsia="Arial" w:cs="Arial"/>
          <w:szCs w:val="22"/>
        </w:rPr>
        <w:t xml:space="preserve">) - </w:t>
      </w:r>
      <w:r>
        <w:rPr>
          <w:rFonts w:eastAsia="Arial"/>
          <w:sz w:val="20"/>
          <w:szCs w:val="20"/>
        </w:rPr>
        <w:t>I</w:t>
      </w:r>
      <w:r>
        <w:rPr>
          <w:rFonts w:eastAsia="Arial"/>
        </w:rPr>
        <w:t>nstaurer un système assurantiel de garantie des conditions de reprise en vue de recyclage au sein des filières de REP dites financières</w:t>
      </w:r>
      <w:bookmarkEnd w:id="41"/>
      <w:bookmarkEnd w:id="42"/>
      <w:bookmarkEnd w:id="43"/>
    </w:p>
    <w:p w14:paraId="5091F132" w14:textId="77777777" w:rsidR="00501FB8" w:rsidRDefault="00501FB8">
      <w:pPr>
        <w:jc w:val="center"/>
        <w:rPr>
          <w:rFonts w:eastAsia="Arial" w:cs="Arial"/>
          <w:b/>
          <w:color w:val="6EBC57"/>
          <w:sz w:val="28"/>
          <w:szCs w:val="28"/>
        </w:rPr>
      </w:pPr>
    </w:p>
    <w:p w14:paraId="09DEF784" w14:textId="77777777" w:rsidR="00501FB8" w:rsidRDefault="00F63BB8">
      <w:pPr>
        <w:spacing w:line="276" w:lineRule="auto"/>
        <w:jc w:val="center"/>
        <w:rPr>
          <w:rFonts w:eastAsia="Arial" w:cs="Arial"/>
          <w:szCs w:val="22"/>
        </w:rPr>
      </w:pPr>
      <w:r>
        <w:rPr>
          <w:rFonts w:eastAsia="Arial" w:cs="Arial"/>
          <w:szCs w:val="22"/>
        </w:rPr>
        <w:t>Présenté par</w:t>
      </w:r>
    </w:p>
    <w:p w14:paraId="49CA2917" w14:textId="77777777" w:rsidR="00501FB8" w:rsidRDefault="00F63BB8">
      <w:pPr>
        <w:spacing w:line="276" w:lineRule="auto"/>
        <w:jc w:val="center"/>
        <w:rPr>
          <w:rFonts w:eastAsia="Arial" w:cs="Arial"/>
          <w:b/>
          <w:szCs w:val="22"/>
        </w:rPr>
      </w:pPr>
      <w:r>
        <w:rPr>
          <w:rFonts w:eastAsia="Arial" w:cs="Arial"/>
          <w:szCs w:val="22"/>
        </w:rPr>
        <w:t>……...</w:t>
      </w:r>
    </w:p>
    <w:p w14:paraId="6B9742A7" w14:textId="77777777" w:rsidR="00501FB8" w:rsidRDefault="00501FB8">
      <w:pPr>
        <w:jc w:val="center"/>
        <w:rPr>
          <w:rFonts w:eastAsia="Arial" w:cs="Arial"/>
          <w:szCs w:val="22"/>
        </w:rPr>
      </w:pPr>
    </w:p>
    <w:p w14:paraId="24E4DEB4" w14:textId="375CEBBC" w:rsidR="00501FB8" w:rsidRDefault="00503E7B">
      <w:pPr>
        <w:jc w:val="center"/>
        <w:rPr>
          <w:rFonts w:eastAsia="Arial" w:cs="Arial"/>
          <w:szCs w:val="22"/>
        </w:rPr>
      </w:pPr>
      <w:r>
        <w:rPr>
          <w:rFonts w:eastAsia="Arial" w:cs="Arial"/>
          <w:szCs w:val="22"/>
        </w:rPr>
        <w:t>A</w:t>
      </w:r>
      <w:r w:rsidR="00F63BB8">
        <w:rPr>
          <w:rFonts w:eastAsia="Arial" w:cs="Arial"/>
          <w:szCs w:val="22"/>
        </w:rPr>
        <w:t>rticle additionnel</w:t>
      </w:r>
    </w:p>
    <w:p w14:paraId="7B4077BA" w14:textId="64B1D245" w:rsidR="00501FB8" w:rsidRDefault="00503E7B">
      <w:pPr>
        <w:spacing w:line="276" w:lineRule="auto"/>
        <w:jc w:val="center"/>
        <w:rPr>
          <w:rFonts w:eastAsia="Arial" w:cs="Arial"/>
          <w:szCs w:val="22"/>
        </w:rPr>
      </w:pPr>
      <w:r>
        <w:rPr>
          <w:rFonts w:eastAsia="Arial" w:cs="Arial"/>
          <w:szCs w:val="22"/>
        </w:rPr>
        <w:t>A</w:t>
      </w:r>
      <w:r w:rsidR="00F63BB8">
        <w:rPr>
          <w:rFonts w:eastAsia="Arial" w:cs="Arial"/>
          <w:szCs w:val="22"/>
        </w:rPr>
        <w:t>près l’article 12</w:t>
      </w:r>
      <w:r>
        <w:rPr>
          <w:rFonts w:eastAsia="Arial" w:cs="Arial"/>
          <w:szCs w:val="22"/>
        </w:rPr>
        <w:t>, insérer un article ainsi rédigé :</w:t>
      </w:r>
    </w:p>
    <w:p w14:paraId="0AD62D84" w14:textId="77777777" w:rsidR="00501FB8" w:rsidRDefault="00501FB8" w:rsidP="00503E7B">
      <w:pPr>
        <w:rPr>
          <w:rFonts w:eastAsia="Arial" w:cs="Arial"/>
          <w:b/>
          <w:szCs w:val="22"/>
          <w:u w:val="single"/>
        </w:rPr>
      </w:pPr>
    </w:p>
    <w:p w14:paraId="559CE523" w14:textId="77777777" w:rsidR="00501FB8" w:rsidRDefault="00501FB8">
      <w:pPr>
        <w:jc w:val="center"/>
        <w:rPr>
          <w:rFonts w:eastAsia="Arial" w:cs="Arial"/>
          <w:b/>
          <w:szCs w:val="22"/>
          <w:u w:val="single"/>
        </w:rPr>
      </w:pPr>
    </w:p>
    <w:p w14:paraId="7F0F54CA" w14:textId="77777777" w:rsidR="00501FB8" w:rsidRDefault="00F63BB8">
      <w:pPr>
        <w:jc w:val="both"/>
        <w:rPr>
          <w:rFonts w:eastAsia="Arial" w:cs="Arial"/>
          <w:szCs w:val="22"/>
        </w:rPr>
      </w:pPr>
      <w:r>
        <w:rPr>
          <w:rFonts w:eastAsia="Arial" w:cs="Arial"/>
          <w:szCs w:val="22"/>
        </w:rPr>
        <w:t>I- Créer au sein de la filière de REP des papiers graphiques un système de garantie de reprise des vieux papiers avec un prix plancher positif permettant d’assurer une recette de reprise minimum pour les collectivités locales et une sécurisation des enlèvements de vieux papiers à recycler. Un arrêté transpose cette mesure dans le cahier des charges de la filière REP des papiers graphiques pour une mise en œuvre au 1er janvier 2022.</w:t>
      </w:r>
    </w:p>
    <w:p w14:paraId="0A34CADD" w14:textId="77777777" w:rsidR="00501FB8" w:rsidRDefault="00501FB8">
      <w:pPr>
        <w:rPr>
          <w:rFonts w:eastAsia="Arial" w:cs="Arial"/>
          <w:szCs w:val="22"/>
        </w:rPr>
      </w:pPr>
    </w:p>
    <w:p w14:paraId="26572EF8" w14:textId="77777777" w:rsidR="00501FB8" w:rsidRDefault="00F63BB8">
      <w:pPr>
        <w:jc w:val="both"/>
        <w:rPr>
          <w:rFonts w:eastAsia="Arial" w:cs="Arial"/>
          <w:szCs w:val="22"/>
        </w:rPr>
      </w:pPr>
      <w:r>
        <w:rPr>
          <w:rFonts w:eastAsia="Arial" w:cs="Arial"/>
          <w:szCs w:val="22"/>
        </w:rPr>
        <w:t xml:space="preserve">II- Créer au sein de la filière de REP des papiers graphiques et des emballages ménagers </w:t>
      </w:r>
    </w:p>
    <w:p w14:paraId="79B199C9" w14:textId="77777777" w:rsidR="00501FB8" w:rsidRDefault="00F63BB8">
      <w:pPr>
        <w:jc w:val="both"/>
        <w:rPr>
          <w:rFonts w:eastAsia="Arial" w:cs="Arial"/>
          <w:szCs w:val="22"/>
        </w:rPr>
      </w:pPr>
      <w:proofErr w:type="gramStart"/>
      <w:r>
        <w:rPr>
          <w:rFonts w:eastAsia="Arial" w:cs="Arial"/>
          <w:szCs w:val="22"/>
        </w:rPr>
        <w:t>un</w:t>
      </w:r>
      <w:proofErr w:type="gramEnd"/>
      <w:r>
        <w:rPr>
          <w:rFonts w:eastAsia="Arial" w:cs="Arial"/>
          <w:szCs w:val="22"/>
        </w:rPr>
        <w:t xml:space="preserve"> système assurantiel prévoyant la possibilité au titulaire de l’agrément la prise en charge de surcoûts structurels exceptionnels permettant d’assurer la pérennisation des filières de recyclage quand celles-ci rencontrent des difficultés menaçant leur équilibre. Ce système assurantiel est composé d’un fond alimenté par les éco-contributions de la REP.  </w:t>
      </w:r>
    </w:p>
    <w:p w14:paraId="2D65AEFA" w14:textId="77777777" w:rsidR="00501FB8" w:rsidRDefault="00F63BB8">
      <w:pPr>
        <w:jc w:val="both"/>
        <w:rPr>
          <w:rFonts w:eastAsia="Arial" w:cs="Arial"/>
          <w:szCs w:val="22"/>
        </w:rPr>
      </w:pPr>
      <w:r>
        <w:rPr>
          <w:rFonts w:eastAsia="Arial" w:cs="Arial"/>
          <w:szCs w:val="22"/>
        </w:rPr>
        <w:t>Des arrêtés transposent cette mesure dans les cahiers des charges de la filière REP des papiers graphiques et des emballages ménagers et prévoient les modalités de constitution et d’encadrement des conditions d’utilisation du fonds pour une mise en œuvre au 1er janvier 2022.</w:t>
      </w:r>
    </w:p>
    <w:p w14:paraId="30F68982" w14:textId="77777777" w:rsidR="00501FB8" w:rsidRDefault="00501FB8">
      <w:pPr>
        <w:rPr>
          <w:rFonts w:eastAsia="Arial" w:cs="Arial"/>
          <w:sz w:val="27"/>
          <w:szCs w:val="27"/>
        </w:rPr>
      </w:pPr>
    </w:p>
    <w:p w14:paraId="7D060E26" w14:textId="02F5A0DE" w:rsidR="00501FB8" w:rsidRPr="00F46E87" w:rsidRDefault="00F46E87">
      <w:pPr>
        <w:jc w:val="center"/>
        <w:rPr>
          <w:rFonts w:eastAsia="Arial" w:cs="Arial"/>
          <w:b/>
          <w:szCs w:val="22"/>
        </w:rPr>
      </w:pPr>
      <w:r w:rsidRPr="00F46E87">
        <w:rPr>
          <w:rFonts w:eastAsia="Arial" w:cs="Arial"/>
          <w:b/>
          <w:szCs w:val="22"/>
        </w:rPr>
        <w:t>Exposé sommaire</w:t>
      </w:r>
    </w:p>
    <w:p w14:paraId="6C59C468" w14:textId="77777777" w:rsidR="00501FB8" w:rsidRDefault="00501FB8">
      <w:pPr>
        <w:jc w:val="both"/>
        <w:rPr>
          <w:rFonts w:eastAsia="Arial" w:cs="Arial"/>
          <w:szCs w:val="22"/>
        </w:rPr>
      </w:pPr>
    </w:p>
    <w:p w14:paraId="4AD0CCAE" w14:textId="77777777" w:rsidR="00501FB8" w:rsidRDefault="00501FB8">
      <w:pPr>
        <w:jc w:val="both"/>
        <w:rPr>
          <w:rFonts w:eastAsia="Arial" w:cs="Arial"/>
          <w:szCs w:val="22"/>
        </w:rPr>
      </w:pPr>
    </w:p>
    <w:p w14:paraId="474915A3" w14:textId="77777777" w:rsidR="00501FB8" w:rsidRDefault="00F63BB8">
      <w:pPr>
        <w:jc w:val="both"/>
        <w:rPr>
          <w:rFonts w:eastAsia="Arial" w:cs="Arial"/>
          <w:szCs w:val="22"/>
        </w:rPr>
      </w:pPr>
      <w:r>
        <w:rPr>
          <w:rFonts w:eastAsia="Arial" w:cs="Arial"/>
          <w:szCs w:val="22"/>
        </w:rPr>
        <w:t xml:space="preserve">Actuellement, les collectivités locales sont en charge via le service public de gestion des déchets de la mise en œuvre de collectes séparée, du tri et de la contractualisation avec les filières de reprise pour le recyclage des emballages ménagers et papiers graphiques. Elles perçoivent des soutiens financiers de la part des éco-organismes titulaires de la REP emballages ménagers et papiers graphiques pour les tonnages effectivement recyclés conformément aux standards de qualité définis par la REP. En cas de difficultés importantes pouvant menacer la pérennité des filières de reprise (absence de débouchés pour certains standards comme cela a été le cas en 2020 pour les papiers-cartons </w:t>
      </w:r>
      <w:proofErr w:type="spellStart"/>
      <w:r>
        <w:rPr>
          <w:rFonts w:eastAsia="Arial" w:cs="Arial"/>
          <w:szCs w:val="22"/>
        </w:rPr>
        <w:t>mélés</w:t>
      </w:r>
      <w:proofErr w:type="spellEnd"/>
      <w:r>
        <w:rPr>
          <w:rFonts w:eastAsia="Arial" w:cs="Arial"/>
          <w:szCs w:val="22"/>
        </w:rPr>
        <w:t xml:space="preserve"> ou gros de magasin, surcoûts structurels liés à la crise sanitaire notamment pour la filière Verre en 2020-2021), les collectivités sont actuellement les seules à supporter financièrement l’équilibre des filières de recyclage en aval notamment par une décote importante des prix de reprise pour compenser les surcoûts des filières de recyclage. Cette situation entraîne un déséquilibre important des recettes des collectivités qui menace l’équilibre budgétaire et ne garantit pas les objectifs de couverture minimum des coûts fixés dans les cahiers des charges des filières de REP emballages ménagers et papiers graphiques. Afin de sécuriser les filières de recyclage et permettre d’assurer une garantie de disponibilité de recettes minimum pour les collectivités il est proposé d’instaurer dans chaque filière de REP dite financière à la fois un système de garantie de reprise avec un prix plancher positif et un système assurantiel couvert par la REP (sous forme de fond) pour compenser les surcoûts structurels exceptionnels nécessaire à la pérennisation des filières de recyclage quand celles-ci rencontrent des difficultés menaçant leur équilibre à l’instar des mesures prises en 2020 pour la REP TLC visant à compenser par la REP les surcoûts de stockage temporaire des TLC pour permettre une reprise de la collecte.</w:t>
      </w:r>
    </w:p>
    <w:p w14:paraId="6F46434D" w14:textId="649D531D" w:rsidR="00501FB8" w:rsidRPr="00F46E87" w:rsidRDefault="00F63BB8" w:rsidP="006B77C2">
      <w:pPr>
        <w:pStyle w:val="Sansinterligne"/>
        <w:rPr>
          <w:rFonts w:eastAsia="Arial" w:cs="Arial"/>
          <w:szCs w:val="22"/>
        </w:rPr>
      </w:pPr>
      <w:r>
        <w:br w:type="page"/>
      </w:r>
      <w:bookmarkStart w:id="44" w:name="_Toc65687444"/>
      <w:r>
        <w:rPr>
          <w:rFonts w:eastAsia="Arial" w:cs="Arial"/>
          <w:szCs w:val="22"/>
        </w:rPr>
        <w:lastRenderedPageBreak/>
        <w:t>Amendement n°10</w:t>
      </w:r>
      <w:r w:rsidR="00F46E87">
        <w:rPr>
          <w:rFonts w:eastAsia="Arial" w:cs="Arial"/>
          <w:szCs w:val="22"/>
        </w:rPr>
        <w:t xml:space="preserve"> - </w:t>
      </w:r>
      <w:r>
        <w:rPr>
          <w:rFonts w:eastAsia="Arial"/>
        </w:rPr>
        <w:t>Supprimer l’interdiction de compostage de fractions fermentescibles issues de traitement mécano-biologique en 2027</w:t>
      </w:r>
      <w:bookmarkEnd w:id="44"/>
    </w:p>
    <w:p w14:paraId="7590CA52" w14:textId="77777777" w:rsidR="00501FB8" w:rsidRDefault="00F63BB8">
      <w:pPr>
        <w:jc w:val="center"/>
        <w:rPr>
          <w:rFonts w:eastAsia="Arial" w:cs="Arial"/>
          <w:szCs w:val="22"/>
        </w:rPr>
      </w:pPr>
      <w:r>
        <w:rPr>
          <w:rFonts w:eastAsia="Arial" w:cs="Arial"/>
          <w:szCs w:val="22"/>
        </w:rPr>
        <w:t xml:space="preserve"> </w:t>
      </w:r>
    </w:p>
    <w:p w14:paraId="4EAE949D" w14:textId="77777777" w:rsidR="00501FB8" w:rsidRDefault="00F63BB8">
      <w:pPr>
        <w:jc w:val="center"/>
        <w:rPr>
          <w:rFonts w:eastAsia="Arial" w:cs="Arial"/>
          <w:szCs w:val="22"/>
        </w:rPr>
      </w:pPr>
      <w:r>
        <w:rPr>
          <w:rFonts w:eastAsia="Arial" w:cs="Arial"/>
          <w:szCs w:val="22"/>
        </w:rPr>
        <w:t>Article additionnel</w:t>
      </w:r>
    </w:p>
    <w:p w14:paraId="1A88295F" w14:textId="77777777" w:rsidR="00501FB8" w:rsidRDefault="00F63BB8">
      <w:pPr>
        <w:jc w:val="center"/>
        <w:rPr>
          <w:rFonts w:eastAsia="Arial" w:cs="Arial"/>
          <w:szCs w:val="22"/>
        </w:rPr>
      </w:pPr>
      <w:r>
        <w:rPr>
          <w:rFonts w:eastAsia="Arial" w:cs="Arial"/>
          <w:szCs w:val="22"/>
        </w:rPr>
        <w:t>Après l’article 13, insérer un article additionnel ainsi rédigé :</w:t>
      </w:r>
    </w:p>
    <w:p w14:paraId="74A7EF49" w14:textId="77777777" w:rsidR="00501FB8" w:rsidRDefault="00F63BB8">
      <w:pPr>
        <w:jc w:val="both"/>
        <w:rPr>
          <w:rFonts w:eastAsia="Arial" w:cs="Arial"/>
          <w:szCs w:val="22"/>
        </w:rPr>
      </w:pPr>
      <w:r>
        <w:rPr>
          <w:rFonts w:eastAsia="Arial" w:cs="Arial"/>
          <w:szCs w:val="22"/>
        </w:rPr>
        <w:t xml:space="preserve"> </w:t>
      </w:r>
    </w:p>
    <w:p w14:paraId="6993B230" w14:textId="77777777" w:rsidR="00501FB8" w:rsidRDefault="00F63BB8">
      <w:pPr>
        <w:jc w:val="both"/>
        <w:rPr>
          <w:rFonts w:eastAsia="Arial" w:cs="Arial"/>
          <w:szCs w:val="22"/>
        </w:rPr>
      </w:pPr>
      <w:r>
        <w:rPr>
          <w:rFonts w:eastAsia="Arial" w:cs="Arial"/>
          <w:szCs w:val="22"/>
        </w:rPr>
        <w:t>I. Le code de l’environnement est ainsi modifié :</w:t>
      </w:r>
    </w:p>
    <w:p w14:paraId="6227C037" w14:textId="77777777" w:rsidR="00501FB8" w:rsidRDefault="00F63BB8">
      <w:pPr>
        <w:jc w:val="both"/>
        <w:rPr>
          <w:rFonts w:eastAsia="Arial" w:cs="Arial"/>
          <w:szCs w:val="22"/>
        </w:rPr>
      </w:pPr>
      <w:r>
        <w:rPr>
          <w:rFonts w:eastAsia="Arial" w:cs="Arial"/>
          <w:szCs w:val="22"/>
        </w:rPr>
        <w:t xml:space="preserve"> </w:t>
      </w:r>
    </w:p>
    <w:p w14:paraId="2A05E396" w14:textId="77777777" w:rsidR="00501FB8" w:rsidRDefault="00F63BB8">
      <w:pPr>
        <w:jc w:val="both"/>
        <w:rPr>
          <w:rFonts w:eastAsia="Arial" w:cs="Arial"/>
          <w:szCs w:val="22"/>
        </w:rPr>
      </w:pPr>
      <w:r>
        <w:rPr>
          <w:rFonts w:eastAsia="Arial" w:cs="Arial"/>
          <w:szCs w:val="22"/>
        </w:rPr>
        <w:t>Au deuxième alinéa du 10° du I de l’article L. 541-1, l’avant dernière phrase est supprimée.</w:t>
      </w:r>
    </w:p>
    <w:p w14:paraId="3EF8B0A8" w14:textId="77777777" w:rsidR="00501FB8" w:rsidRDefault="00F63BB8">
      <w:pPr>
        <w:jc w:val="both"/>
        <w:rPr>
          <w:rFonts w:eastAsia="Arial" w:cs="Arial"/>
          <w:szCs w:val="22"/>
        </w:rPr>
      </w:pPr>
      <w:r>
        <w:rPr>
          <w:rFonts w:eastAsia="Arial" w:cs="Arial"/>
          <w:szCs w:val="22"/>
        </w:rPr>
        <w:t xml:space="preserve"> </w:t>
      </w:r>
    </w:p>
    <w:p w14:paraId="659DFB97" w14:textId="77777777" w:rsidR="00501FB8" w:rsidRDefault="00F63BB8">
      <w:pPr>
        <w:jc w:val="both"/>
        <w:rPr>
          <w:rFonts w:eastAsia="Arial" w:cs="Arial"/>
          <w:szCs w:val="22"/>
        </w:rPr>
      </w:pPr>
      <w:r>
        <w:rPr>
          <w:rFonts w:eastAsia="Arial" w:cs="Arial"/>
          <w:szCs w:val="22"/>
        </w:rPr>
        <w:t xml:space="preserve"> </w:t>
      </w:r>
    </w:p>
    <w:p w14:paraId="78C9B288" w14:textId="77777777" w:rsidR="00501FB8" w:rsidRDefault="00F63BB8">
      <w:pPr>
        <w:jc w:val="center"/>
        <w:rPr>
          <w:rFonts w:eastAsia="Arial" w:cs="Arial"/>
          <w:b/>
          <w:szCs w:val="22"/>
        </w:rPr>
      </w:pPr>
      <w:r>
        <w:rPr>
          <w:rFonts w:eastAsia="Arial" w:cs="Arial"/>
          <w:b/>
          <w:szCs w:val="22"/>
        </w:rPr>
        <w:t>Exposé sommaire</w:t>
      </w:r>
    </w:p>
    <w:p w14:paraId="6CD31413" w14:textId="77777777" w:rsidR="00501FB8" w:rsidRDefault="00F63BB8">
      <w:pPr>
        <w:jc w:val="both"/>
        <w:rPr>
          <w:rFonts w:eastAsia="Arial" w:cs="Arial"/>
          <w:szCs w:val="22"/>
        </w:rPr>
      </w:pPr>
      <w:r>
        <w:rPr>
          <w:rFonts w:eastAsia="Arial" w:cs="Arial"/>
          <w:szCs w:val="22"/>
        </w:rPr>
        <w:t xml:space="preserve"> </w:t>
      </w:r>
    </w:p>
    <w:p w14:paraId="78B602BA" w14:textId="77777777" w:rsidR="00501FB8" w:rsidRDefault="00F63BB8">
      <w:pPr>
        <w:jc w:val="both"/>
        <w:rPr>
          <w:rFonts w:eastAsia="Arial" w:cs="Arial"/>
          <w:szCs w:val="22"/>
        </w:rPr>
      </w:pPr>
      <w:r>
        <w:rPr>
          <w:rFonts w:eastAsia="Arial" w:cs="Arial"/>
          <w:szCs w:val="22"/>
        </w:rPr>
        <w:t>Cet amendement vise à supprimer l’interdiction de recourir à des procédés de compostage de fractions fermentescibles issues de traitement mécano-biologique à compter de 2027 prévue dans la loi anti-gaspillage pour une économie circulaire (AGEC) du 10 février 2020. L’objectif visé étant de privilégier le retour au sol d’amendements organiques de qualité et d’éviter l’enfouissement à terme de près d’un million de tonnes de déchets supplémentaires.</w:t>
      </w:r>
    </w:p>
    <w:p w14:paraId="79939413" w14:textId="77777777" w:rsidR="00501FB8" w:rsidRDefault="00F63BB8">
      <w:pPr>
        <w:jc w:val="both"/>
        <w:rPr>
          <w:rFonts w:eastAsia="Arial" w:cs="Arial"/>
          <w:szCs w:val="22"/>
        </w:rPr>
      </w:pPr>
      <w:r>
        <w:rPr>
          <w:rFonts w:eastAsia="Arial" w:cs="Arial"/>
          <w:szCs w:val="22"/>
        </w:rPr>
        <w:t xml:space="preserve"> </w:t>
      </w:r>
    </w:p>
    <w:p w14:paraId="2DA49C82" w14:textId="77777777" w:rsidR="00501FB8" w:rsidRDefault="00F63BB8">
      <w:pPr>
        <w:jc w:val="both"/>
        <w:rPr>
          <w:rFonts w:eastAsia="Arial" w:cs="Arial"/>
          <w:szCs w:val="22"/>
        </w:rPr>
      </w:pPr>
      <w:r>
        <w:rPr>
          <w:rFonts w:eastAsia="Arial" w:cs="Arial"/>
          <w:szCs w:val="22"/>
        </w:rPr>
        <w:t>Premièrement, contrairement à l’argumentaire développé lors des débats entourant l’examen du projet de loi et lors du vote du texte de la loi AGEC, le compost de TMB ne fait l’objet d’aucune interdiction pour l’épandage sur des parcelles de culture alimentaire.</w:t>
      </w:r>
    </w:p>
    <w:p w14:paraId="1F14E798" w14:textId="77777777" w:rsidR="00501FB8" w:rsidRDefault="00F63BB8">
      <w:pPr>
        <w:jc w:val="both"/>
        <w:rPr>
          <w:rFonts w:eastAsia="Arial" w:cs="Arial"/>
          <w:szCs w:val="22"/>
        </w:rPr>
      </w:pPr>
      <w:r>
        <w:rPr>
          <w:rFonts w:eastAsia="Arial" w:cs="Arial"/>
          <w:szCs w:val="22"/>
        </w:rPr>
        <w:t xml:space="preserve"> </w:t>
      </w:r>
    </w:p>
    <w:p w14:paraId="000566D3" w14:textId="77777777" w:rsidR="00501FB8" w:rsidRDefault="00F63BB8">
      <w:pPr>
        <w:jc w:val="both"/>
        <w:rPr>
          <w:rFonts w:eastAsia="Arial" w:cs="Arial"/>
          <w:szCs w:val="22"/>
          <w:highlight w:val="white"/>
        </w:rPr>
      </w:pPr>
      <w:r>
        <w:rPr>
          <w:rFonts w:eastAsia="Arial" w:cs="Arial"/>
          <w:szCs w:val="22"/>
        </w:rPr>
        <w:t xml:space="preserve">Deuxièmement, la directive </w:t>
      </w:r>
      <w:r>
        <w:rPr>
          <w:rFonts w:eastAsia="Arial" w:cs="Arial"/>
          <w:szCs w:val="22"/>
          <w:highlight w:val="white"/>
        </w:rPr>
        <w:t>cadre déchet 2018/851 n’interdit pas la production de composts issus de la fraction fermentescible des ordures ménagères triée par TMB en 2027. Elle précise juste que les composts issus de TMB ne pourront plus être comptabilisés en tant que matière pour l’évaluation du taux de recyclage et de réemploi de chaque état membre.</w:t>
      </w:r>
    </w:p>
    <w:p w14:paraId="6A464D65" w14:textId="77777777" w:rsidR="00501FB8" w:rsidRDefault="00F63BB8">
      <w:pPr>
        <w:jc w:val="both"/>
        <w:rPr>
          <w:rFonts w:eastAsia="Arial" w:cs="Arial"/>
          <w:szCs w:val="22"/>
          <w:highlight w:val="white"/>
        </w:rPr>
      </w:pPr>
      <w:r>
        <w:rPr>
          <w:rFonts w:eastAsia="Arial" w:cs="Arial"/>
          <w:szCs w:val="22"/>
          <w:highlight w:val="white"/>
        </w:rPr>
        <w:t xml:space="preserve"> </w:t>
      </w:r>
    </w:p>
    <w:p w14:paraId="261403FF" w14:textId="77777777" w:rsidR="00501FB8" w:rsidRDefault="00F63BB8">
      <w:pPr>
        <w:jc w:val="both"/>
        <w:rPr>
          <w:rFonts w:eastAsia="Arial" w:cs="Arial"/>
          <w:szCs w:val="22"/>
          <w:highlight w:val="white"/>
        </w:rPr>
      </w:pPr>
      <w:r>
        <w:rPr>
          <w:rFonts w:eastAsia="Arial" w:cs="Arial"/>
          <w:szCs w:val="22"/>
          <w:highlight w:val="white"/>
        </w:rPr>
        <w:t>En interdisant le recours au compostage, la rédaction actuelle de l’article L. 541-1 du Code de l’environnement modifié par l’article 87 de la loi AGEC constitue une sur-transposition de la directive cadre déchets.</w:t>
      </w:r>
    </w:p>
    <w:p w14:paraId="68EA08FA" w14:textId="77777777" w:rsidR="00501FB8" w:rsidRDefault="00F63BB8">
      <w:pPr>
        <w:jc w:val="both"/>
        <w:rPr>
          <w:rFonts w:eastAsia="Arial" w:cs="Arial"/>
          <w:szCs w:val="22"/>
          <w:highlight w:val="white"/>
        </w:rPr>
      </w:pPr>
      <w:r>
        <w:rPr>
          <w:rFonts w:eastAsia="Arial" w:cs="Arial"/>
          <w:szCs w:val="22"/>
          <w:highlight w:val="white"/>
        </w:rPr>
        <w:t xml:space="preserve"> </w:t>
      </w:r>
    </w:p>
    <w:p w14:paraId="756759A0" w14:textId="77777777" w:rsidR="00501FB8" w:rsidRDefault="00F63BB8">
      <w:pPr>
        <w:jc w:val="both"/>
        <w:rPr>
          <w:rFonts w:eastAsia="Arial" w:cs="Arial"/>
          <w:szCs w:val="22"/>
          <w:highlight w:val="white"/>
        </w:rPr>
      </w:pPr>
      <w:r>
        <w:rPr>
          <w:rFonts w:eastAsia="Arial" w:cs="Arial"/>
          <w:szCs w:val="22"/>
          <w:highlight w:val="white"/>
        </w:rPr>
        <w:t>Cette disposition fait peser un risque sanitaire plus important pour le retour au sol des amendements issus de TMB à compter de 2027. En effet elle destine les amendements organiques issus de TMB à être valorisés sous forme de plans d’épandage répondant à des seuils d’innocuité moins stricts que les exigences garanties par le respect de la norme NFU 44051 à laquelle ces composts répondent aujourd’hui.</w:t>
      </w:r>
    </w:p>
    <w:p w14:paraId="18E6442A" w14:textId="77777777" w:rsidR="00501FB8" w:rsidRDefault="00F63BB8">
      <w:pPr>
        <w:jc w:val="both"/>
        <w:rPr>
          <w:rFonts w:eastAsia="Arial" w:cs="Arial"/>
          <w:szCs w:val="22"/>
          <w:highlight w:val="white"/>
        </w:rPr>
      </w:pPr>
      <w:r>
        <w:rPr>
          <w:rFonts w:eastAsia="Arial" w:cs="Arial"/>
          <w:szCs w:val="22"/>
          <w:highlight w:val="white"/>
        </w:rPr>
        <w:t xml:space="preserve"> </w:t>
      </w:r>
    </w:p>
    <w:p w14:paraId="54D1CE9B" w14:textId="77777777" w:rsidR="00501FB8" w:rsidRDefault="00F63BB8">
      <w:pPr>
        <w:jc w:val="both"/>
        <w:rPr>
          <w:rFonts w:eastAsia="Arial" w:cs="Arial"/>
          <w:szCs w:val="22"/>
          <w:highlight w:val="white"/>
        </w:rPr>
      </w:pPr>
      <w:r>
        <w:rPr>
          <w:rFonts w:eastAsia="Arial" w:cs="Arial"/>
          <w:szCs w:val="22"/>
          <w:highlight w:val="white"/>
        </w:rPr>
        <w:t>Par ailleurs, cette disposition va à l’encontre des principes même de recherche d’une économie circulaire territoriale. En effet le recours aux plans d’épandage est de nature à restreindre considérablement les possibilités de retour au sol compte tenu de l’acceptabilité des plans d’épandage par rapport à la valorisation de composts normés. En l’absence d’exutoire, ces amendements seraient donc nécessairement orientés en centre de stockage ou en incinération ce qui constituerait un non-sens du point de vue de la hiérarchie des modes de traitement et une aberration vis-à-vis de l’objectif de réduction du stockage des déchets à 10% maximum des déchets municipaux pour 2035 prévu par la directive cadre européenne sur les déchets.</w:t>
      </w:r>
    </w:p>
    <w:p w14:paraId="0FEFF7DD" w14:textId="77777777" w:rsidR="00501FB8" w:rsidRDefault="00F63BB8">
      <w:pPr>
        <w:jc w:val="both"/>
        <w:rPr>
          <w:rFonts w:eastAsia="Arial" w:cs="Arial"/>
          <w:szCs w:val="22"/>
          <w:highlight w:val="white"/>
        </w:rPr>
      </w:pPr>
      <w:r>
        <w:rPr>
          <w:rFonts w:eastAsia="Arial" w:cs="Arial"/>
          <w:szCs w:val="22"/>
          <w:highlight w:val="white"/>
        </w:rPr>
        <w:t xml:space="preserve"> </w:t>
      </w:r>
    </w:p>
    <w:p w14:paraId="04048DD0" w14:textId="77777777" w:rsidR="00501FB8" w:rsidRDefault="00F63BB8">
      <w:pPr>
        <w:jc w:val="both"/>
        <w:rPr>
          <w:rFonts w:eastAsia="Arial" w:cs="Arial"/>
          <w:szCs w:val="22"/>
          <w:highlight w:val="white"/>
        </w:rPr>
      </w:pPr>
      <w:r>
        <w:rPr>
          <w:rFonts w:eastAsia="Arial" w:cs="Arial"/>
          <w:szCs w:val="22"/>
          <w:highlight w:val="white"/>
        </w:rPr>
        <w:t>Aujourd’hui, en France, 2,1 millions de tonnes d’OMR sont pré-triées dans 45 installations de tri-compostage, tri-méthanisation ou tri-stabilisation en 2018. Ces installations permettent de détourner près d’1 million de tonnes du stockage ainsi que le retour au sol d’environ 300 000 tonnes d’amendements organiques de qualité. La suppression de cette disposition permet d’éviter l’enfouissement de plus d’1 million de tonnes supplémentaires en 2027.</w:t>
      </w:r>
    </w:p>
    <w:p w14:paraId="3DC124B4" w14:textId="77777777" w:rsidR="00501FB8" w:rsidRDefault="00F63BB8">
      <w:pPr>
        <w:jc w:val="both"/>
        <w:rPr>
          <w:rFonts w:eastAsia="Arial" w:cs="Arial"/>
          <w:b/>
          <w:szCs w:val="22"/>
        </w:rPr>
      </w:pPr>
      <w:r>
        <w:rPr>
          <w:rFonts w:eastAsia="Arial" w:cs="Arial"/>
          <w:color w:val="6EBC57"/>
          <w:szCs w:val="22"/>
          <w:highlight w:val="white"/>
        </w:rPr>
        <w:t xml:space="preserve"> </w:t>
      </w:r>
      <w:r>
        <w:br w:type="page"/>
      </w:r>
    </w:p>
    <w:p w14:paraId="4B4E14B6" w14:textId="77777777" w:rsidR="00503E7B" w:rsidRDefault="00503E7B" w:rsidP="00DC0716">
      <w:pPr>
        <w:spacing w:line="276" w:lineRule="auto"/>
        <w:rPr>
          <w:rFonts w:eastAsia="Arial" w:cs="Arial"/>
          <w:b/>
          <w:color w:val="6EBC57"/>
          <w:sz w:val="28"/>
          <w:szCs w:val="28"/>
        </w:rPr>
      </w:pPr>
    </w:p>
    <w:p w14:paraId="4F21B63F" w14:textId="2E9C079E" w:rsidR="00501FB8" w:rsidRPr="00B3005A" w:rsidRDefault="00F63BB8" w:rsidP="00B3005A">
      <w:pPr>
        <w:pStyle w:val="SOUSTITRE2"/>
        <w:rPr>
          <w:sz w:val="22"/>
          <w:szCs w:val="22"/>
        </w:rPr>
      </w:pPr>
      <w:bookmarkStart w:id="45" w:name="_Toc65492957"/>
      <w:bookmarkStart w:id="46" w:name="_Toc65685666"/>
      <w:bookmarkStart w:id="47" w:name="_Toc65687445"/>
      <w:r w:rsidRPr="00B3005A">
        <w:t xml:space="preserve">Chapitre </w:t>
      </w:r>
      <w:r w:rsidR="00503E7B" w:rsidRPr="00B3005A">
        <w:t>III</w:t>
      </w:r>
      <w:r w:rsidRPr="00B3005A">
        <w:t xml:space="preserve"> </w:t>
      </w:r>
      <w:r w:rsidR="00503E7B" w:rsidRPr="00B3005A">
        <w:t>- P</w:t>
      </w:r>
      <w:r w:rsidRPr="00B3005A">
        <w:t>rotéger les écosystèmes</w:t>
      </w:r>
      <w:bookmarkEnd w:id="45"/>
      <w:r w:rsidR="00B3005A" w:rsidRPr="00B3005A">
        <w:t xml:space="preserve"> et la diversité biologique</w:t>
      </w:r>
      <w:bookmarkEnd w:id="46"/>
      <w:bookmarkEnd w:id="47"/>
    </w:p>
    <w:p w14:paraId="5B597610" w14:textId="77777777" w:rsidR="00501FB8" w:rsidRDefault="00501FB8">
      <w:pPr>
        <w:jc w:val="center"/>
        <w:rPr>
          <w:rFonts w:eastAsia="Arial" w:cs="Arial"/>
          <w:szCs w:val="22"/>
        </w:rPr>
      </w:pPr>
    </w:p>
    <w:p w14:paraId="08BDEA8C" w14:textId="77777777" w:rsidR="00503E7B" w:rsidRDefault="00503E7B">
      <w:pPr>
        <w:jc w:val="center"/>
        <w:rPr>
          <w:rFonts w:eastAsia="Arial" w:cs="Arial"/>
          <w:szCs w:val="22"/>
        </w:rPr>
      </w:pPr>
    </w:p>
    <w:p w14:paraId="4D1B5B53" w14:textId="5D03C598" w:rsidR="00501FB8" w:rsidRPr="00F46E87" w:rsidRDefault="00F63BB8" w:rsidP="00F46E87">
      <w:pPr>
        <w:pStyle w:val="Sansinterligne"/>
        <w:rPr>
          <w:rFonts w:eastAsia="Arial"/>
        </w:rPr>
      </w:pPr>
      <w:bookmarkStart w:id="48" w:name="_Toc65685025"/>
      <w:bookmarkStart w:id="49" w:name="_Toc65685667"/>
      <w:bookmarkStart w:id="50" w:name="_Toc65687446"/>
      <w:r w:rsidRPr="00F46E87">
        <w:rPr>
          <w:rFonts w:eastAsia="Arial"/>
        </w:rPr>
        <w:t>Amendement n°1</w:t>
      </w:r>
      <w:r w:rsidR="006B77C2">
        <w:rPr>
          <w:rFonts w:eastAsia="Arial"/>
        </w:rPr>
        <w:t>1</w:t>
      </w:r>
      <w:r w:rsidRPr="00F46E87">
        <w:rPr>
          <w:rFonts w:eastAsia="Arial"/>
        </w:rPr>
        <w:t xml:space="preserve"> </w:t>
      </w:r>
      <w:r w:rsidR="00F46E87" w:rsidRPr="00F46E87">
        <w:rPr>
          <w:rFonts w:eastAsia="Arial"/>
        </w:rPr>
        <w:t>(</w:t>
      </w:r>
      <w:r w:rsidR="00503E7B" w:rsidRPr="00F46E87">
        <w:rPr>
          <w:rFonts w:eastAsia="Arial"/>
        </w:rPr>
        <w:t>P</w:t>
      </w:r>
      <w:r w:rsidRPr="00F46E87">
        <w:rPr>
          <w:rFonts w:eastAsia="Arial"/>
        </w:rPr>
        <w:t>rioritaire</w:t>
      </w:r>
      <w:r w:rsidR="00F46E87" w:rsidRPr="00F46E87">
        <w:rPr>
          <w:rFonts w:eastAsia="Arial"/>
        </w:rPr>
        <w:t xml:space="preserve">) - </w:t>
      </w:r>
      <w:r w:rsidRPr="00F46E87">
        <w:rPr>
          <w:rFonts w:eastAsia="Arial"/>
        </w:rPr>
        <w:t xml:space="preserve">Mettre en </w:t>
      </w:r>
      <w:r w:rsidR="00503E7B" w:rsidRPr="00F46E87">
        <w:rPr>
          <w:rFonts w:eastAsia="Arial"/>
        </w:rPr>
        <w:t>œuvre</w:t>
      </w:r>
      <w:r w:rsidRPr="00F46E87">
        <w:rPr>
          <w:rFonts w:eastAsia="Arial"/>
        </w:rPr>
        <w:t xml:space="preserve"> un plan national de lutte contre la pollution plastique</w:t>
      </w:r>
      <w:bookmarkEnd w:id="48"/>
      <w:bookmarkEnd w:id="49"/>
      <w:bookmarkEnd w:id="50"/>
    </w:p>
    <w:p w14:paraId="2D8B643C" w14:textId="77777777" w:rsidR="00501FB8" w:rsidRDefault="00501FB8">
      <w:pPr>
        <w:jc w:val="center"/>
        <w:rPr>
          <w:rFonts w:eastAsia="Arial" w:cs="Arial"/>
          <w:b/>
          <w:szCs w:val="22"/>
        </w:rPr>
      </w:pPr>
    </w:p>
    <w:p w14:paraId="57911D8C" w14:textId="77777777" w:rsidR="00501FB8" w:rsidRDefault="00F63BB8">
      <w:pPr>
        <w:spacing w:line="276" w:lineRule="auto"/>
        <w:jc w:val="center"/>
        <w:rPr>
          <w:rFonts w:eastAsia="Arial" w:cs="Arial"/>
          <w:szCs w:val="22"/>
        </w:rPr>
      </w:pPr>
      <w:r>
        <w:rPr>
          <w:rFonts w:eastAsia="Arial" w:cs="Arial"/>
          <w:szCs w:val="22"/>
        </w:rPr>
        <w:t>Présenté par</w:t>
      </w:r>
    </w:p>
    <w:p w14:paraId="75277632" w14:textId="77777777" w:rsidR="00501FB8" w:rsidRDefault="00F63BB8">
      <w:pPr>
        <w:spacing w:line="276" w:lineRule="auto"/>
        <w:jc w:val="center"/>
        <w:rPr>
          <w:rFonts w:eastAsia="Arial" w:cs="Arial"/>
          <w:b/>
          <w:szCs w:val="22"/>
        </w:rPr>
      </w:pPr>
      <w:r>
        <w:rPr>
          <w:rFonts w:eastAsia="Arial" w:cs="Arial"/>
          <w:szCs w:val="22"/>
        </w:rPr>
        <w:t>……...</w:t>
      </w:r>
    </w:p>
    <w:p w14:paraId="05EE636A" w14:textId="77777777" w:rsidR="00501FB8" w:rsidRDefault="00501FB8">
      <w:pPr>
        <w:spacing w:line="276" w:lineRule="auto"/>
        <w:rPr>
          <w:rFonts w:eastAsia="Arial" w:cs="Arial"/>
          <w:szCs w:val="22"/>
        </w:rPr>
      </w:pPr>
    </w:p>
    <w:p w14:paraId="39DF102B" w14:textId="77777777" w:rsidR="00503E7B" w:rsidRDefault="00F63BB8">
      <w:pPr>
        <w:spacing w:line="276" w:lineRule="auto"/>
        <w:jc w:val="center"/>
        <w:rPr>
          <w:rFonts w:eastAsia="Arial" w:cs="Arial"/>
          <w:szCs w:val="22"/>
        </w:rPr>
      </w:pPr>
      <w:r>
        <w:rPr>
          <w:rFonts w:eastAsia="Arial" w:cs="Arial"/>
          <w:szCs w:val="22"/>
        </w:rPr>
        <w:t xml:space="preserve">Article additionnel </w:t>
      </w:r>
    </w:p>
    <w:p w14:paraId="5C32EE54" w14:textId="73694A1C" w:rsidR="00501FB8" w:rsidRDefault="00503E7B" w:rsidP="00503E7B">
      <w:pPr>
        <w:jc w:val="center"/>
        <w:rPr>
          <w:rFonts w:eastAsia="Arial" w:cs="Arial"/>
          <w:szCs w:val="22"/>
        </w:rPr>
      </w:pPr>
      <w:r>
        <w:rPr>
          <w:rFonts w:eastAsia="Arial" w:cs="Arial"/>
          <w:szCs w:val="22"/>
        </w:rPr>
        <w:t>A</w:t>
      </w:r>
      <w:r w:rsidR="00F63BB8">
        <w:rPr>
          <w:rFonts w:eastAsia="Arial" w:cs="Arial"/>
          <w:szCs w:val="22"/>
        </w:rPr>
        <w:t>près l’article 24</w:t>
      </w:r>
      <w:r>
        <w:rPr>
          <w:rFonts w:eastAsia="Arial" w:cs="Arial"/>
          <w:szCs w:val="22"/>
        </w:rPr>
        <w:t>,</w:t>
      </w:r>
      <w:r w:rsidR="00F63BB8">
        <w:rPr>
          <w:rFonts w:eastAsia="Arial" w:cs="Arial"/>
          <w:szCs w:val="22"/>
        </w:rPr>
        <w:t xml:space="preserve"> </w:t>
      </w:r>
      <w:r>
        <w:rPr>
          <w:rFonts w:eastAsia="Arial" w:cs="Arial"/>
          <w:szCs w:val="22"/>
        </w:rPr>
        <w:t>insérer un article supplémentaire ainsi rédigé :</w:t>
      </w:r>
    </w:p>
    <w:p w14:paraId="28EDE89B" w14:textId="77777777" w:rsidR="00501FB8" w:rsidRDefault="00501FB8">
      <w:pPr>
        <w:jc w:val="center"/>
        <w:rPr>
          <w:rFonts w:eastAsia="Arial" w:cs="Arial"/>
          <w:szCs w:val="22"/>
        </w:rPr>
      </w:pPr>
    </w:p>
    <w:p w14:paraId="2CD5020B" w14:textId="54DC9501" w:rsidR="00501FB8" w:rsidRDefault="00501FB8">
      <w:pPr>
        <w:jc w:val="both"/>
        <w:rPr>
          <w:rFonts w:eastAsia="Arial" w:cs="Arial"/>
          <w:szCs w:val="22"/>
        </w:rPr>
      </w:pPr>
    </w:p>
    <w:p w14:paraId="02BC3977" w14:textId="77777777" w:rsidR="00501FB8" w:rsidRDefault="00F63BB8">
      <w:pPr>
        <w:jc w:val="both"/>
        <w:rPr>
          <w:rFonts w:eastAsia="Arial" w:cs="Arial"/>
          <w:szCs w:val="22"/>
        </w:rPr>
      </w:pPr>
      <w:r>
        <w:rPr>
          <w:rFonts w:eastAsia="Arial" w:cs="Arial"/>
          <w:szCs w:val="22"/>
        </w:rPr>
        <w:t>“Le Gouvernement élabore, d’ici le 1er janvier 2022, un plan national de lutte contre la pollution plastique fondé sur la mise en place d’un inventaire national de l’ensemble des produits et matières plastiques mis sur le marché français, et d’un dispositif d’identification et d’évaluation de l’ensemble des impacts éco-toxicologiques et sanitaires résultant de l’usage des matières plastiques et de la gestion de leur fin de vie. Sur le modèle du plan national de lutte contre le changement climatique, le plan national de lutte contre la pollution plastique met en œuvre les moyens d’atteindre les objectifs que la France s’est fixée en matière de réduction, de réemploi, de recyclage et de valorisation de tout ou partie des déchets en plastique. Il établit également les objectifs et les moyens de réduction des différentes formes de pollutions plastiques sur l’environnement et la santé.</w:t>
      </w:r>
    </w:p>
    <w:p w14:paraId="09F53910" w14:textId="77777777" w:rsidR="00501FB8" w:rsidRDefault="00F63BB8">
      <w:pPr>
        <w:rPr>
          <w:rFonts w:eastAsia="Arial" w:cs="Arial"/>
          <w:szCs w:val="22"/>
        </w:rPr>
      </w:pPr>
      <w:r>
        <w:rPr>
          <w:rFonts w:eastAsia="Arial" w:cs="Arial"/>
          <w:szCs w:val="22"/>
        </w:rPr>
        <w:t xml:space="preserve"> </w:t>
      </w:r>
    </w:p>
    <w:p w14:paraId="1F9AE273" w14:textId="13DCEA26" w:rsidR="00501FB8" w:rsidRPr="00F46E87" w:rsidRDefault="00F46E87">
      <w:pPr>
        <w:jc w:val="center"/>
        <w:rPr>
          <w:rFonts w:eastAsia="Arial" w:cs="Arial"/>
          <w:b/>
          <w:szCs w:val="22"/>
        </w:rPr>
      </w:pPr>
      <w:r w:rsidRPr="00F46E87">
        <w:rPr>
          <w:rFonts w:eastAsia="Arial" w:cs="Arial"/>
          <w:b/>
          <w:szCs w:val="22"/>
        </w:rPr>
        <w:t>Exposé sommaire</w:t>
      </w:r>
    </w:p>
    <w:p w14:paraId="13EE12C3" w14:textId="77777777" w:rsidR="00501FB8" w:rsidRDefault="00501FB8">
      <w:pPr>
        <w:jc w:val="both"/>
        <w:rPr>
          <w:rFonts w:eastAsia="Arial" w:cs="Arial"/>
          <w:b/>
          <w:szCs w:val="22"/>
        </w:rPr>
      </w:pPr>
    </w:p>
    <w:p w14:paraId="40ED8EE1" w14:textId="77777777" w:rsidR="00066E33" w:rsidRDefault="00F63BB8">
      <w:pPr>
        <w:jc w:val="both"/>
        <w:rPr>
          <w:rFonts w:eastAsia="Arial" w:cs="Arial"/>
          <w:szCs w:val="22"/>
        </w:rPr>
      </w:pPr>
      <w:r>
        <w:rPr>
          <w:rFonts w:eastAsia="Arial" w:cs="Arial"/>
          <w:szCs w:val="22"/>
        </w:rPr>
        <w:t>En un siècle, plus de 8 milliards de tonnes de produits et matières plastiques ont été produits, mis sur le marché, utilisés, éliminés et renvoyés dans notre environnement (eau, air, sols). La quantité de plastique produite par l’</w:t>
      </w:r>
      <w:r w:rsidR="00D6213E">
        <w:rPr>
          <w:rFonts w:eastAsia="Arial" w:cs="Arial"/>
          <w:szCs w:val="22"/>
        </w:rPr>
        <w:t>H</w:t>
      </w:r>
      <w:r>
        <w:rPr>
          <w:rFonts w:eastAsia="Arial" w:cs="Arial"/>
          <w:szCs w:val="22"/>
        </w:rPr>
        <w:t>omme ne cesse d’augmenter depuis plusieurs décennies et les projections à moyen terme confirment cette augmentation. Plusieurs dizaines de résines, des centaines d’adjuvants et d’additifs sont aujourd’hui quotidiennement consommés dans de nombreux produits de grande consommation, par les ménages et les entreprises. Seule une fraction très limitée de 4 à 5 millions de tonnes de produits et emballages en plastiques générés chaque année sont ensuite recyclés ou valorisés, et une partie non négligeable est éliminée sans valorisation et pour certains disséminés directement dans notre environnement sous forme de macro ou de micropollution, avec des conséquences graves pour les écosystèmes et la santé des populations. Si depuis 1992, la maîtrise de la consommation d’énergie fossiles et la réduction des émissions du carbone fossile dans l’air est devenu une priorité nationale et internationale, la maîtrise de la consommation qui doit prendre en compte les usages essentiels mais aussi des usages substituables des plastiques et la réduction de la pollution plastique doit devenir une priorité de la France pour ralentir une pollution aux plastiques désormais visibles dans de très nombreux milieux naturels. C’est le sens de plusieurs propositions issues de la convention citoyenne qui n’ont pas été reprises dans le projet de loi à ce stade. Ce plan national de lutte contre la pollution plastique devra intégrer, entre autres, le suivi de mise en œuvre des mesures importantes de la loi AGEC et du Pacte National Plastiques qui contribueront pour partie à l’ambition d’une vraie stratégie globale de maîtrise de la pollution plastique.</w:t>
      </w:r>
    </w:p>
    <w:p w14:paraId="31223F21" w14:textId="77777777" w:rsidR="00066E33" w:rsidRDefault="00066E33">
      <w:pPr>
        <w:jc w:val="both"/>
        <w:rPr>
          <w:rFonts w:eastAsia="Arial" w:cs="Arial"/>
          <w:szCs w:val="22"/>
        </w:rPr>
      </w:pPr>
    </w:p>
    <w:p w14:paraId="733440C9" w14:textId="77777777" w:rsidR="00066E33" w:rsidRDefault="00066E33">
      <w:pPr>
        <w:pBdr>
          <w:top w:val="none" w:sz="0" w:space="0" w:color="000000"/>
          <w:left w:val="none" w:sz="0" w:space="0" w:color="000000"/>
          <w:bottom w:val="none" w:sz="0" w:space="0" w:color="000000"/>
          <w:right w:val="none" w:sz="0" w:space="0" w:color="000000"/>
          <w:between w:val="none" w:sz="0" w:space="0" w:color="000000"/>
        </w:pBdr>
        <w:rPr>
          <w:rFonts w:eastAsia="Arial" w:cs="Arial"/>
          <w:szCs w:val="22"/>
        </w:rPr>
      </w:pPr>
      <w:r>
        <w:rPr>
          <w:rFonts w:eastAsia="Arial" w:cs="Arial"/>
          <w:szCs w:val="22"/>
        </w:rPr>
        <w:br w:type="page"/>
      </w:r>
    </w:p>
    <w:p w14:paraId="2748AE45" w14:textId="0D8C4CC5" w:rsidR="007A6351" w:rsidRPr="000A5391" w:rsidRDefault="007A6351" w:rsidP="007A6351">
      <w:pPr>
        <w:pStyle w:val="Sansinterligne"/>
      </w:pPr>
      <w:bookmarkStart w:id="51" w:name="_Toc65512959"/>
      <w:bookmarkStart w:id="52" w:name="_Toc65685032"/>
      <w:bookmarkStart w:id="53" w:name="_Toc65685674"/>
      <w:bookmarkStart w:id="54" w:name="_Toc65513819"/>
      <w:bookmarkStart w:id="55" w:name="_Toc65685026"/>
      <w:bookmarkStart w:id="56" w:name="_Toc65685668"/>
      <w:bookmarkStart w:id="57" w:name="_Toc65687447"/>
      <w:r w:rsidRPr="000A5391">
        <w:lastRenderedPageBreak/>
        <w:t>Amendement n°1</w:t>
      </w:r>
      <w:r w:rsidR="006B77C2">
        <w:t>2</w:t>
      </w:r>
      <w:r w:rsidRPr="000A5391">
        <w:t xml:space="preserve"> (Prioritaire)</w:t>
      </w:r>
      <w:bookmarkStart w:id="58" w:name="_heading=h.n7ngr0gr35eq" w:colFirst="0" w:colLast="0"/>
      <w:bookmarkEnd w:id="58"/>
      <w:r w:rsidRPr="000A5391">
        <w:t xml:space="preserve"> - Engager une stratégie nationale de financement de la lutte contre les micropolluants dans l’eau</w:t>
      </w:r>
      <w:bookmarkEnd w:id="51"/>
      <w:bookmarkEnd w:id="52"/>
      <w:bookmarkEnd w:id="53"/>
      <w:bookmarkEnd w:id="57"/>
      <w:r w:rsidRPr="000A5391">
        <w:t xml:space="preserve"> </w:t>
      </w:r>
    </w:p>
    <w:p w14:paraId="2A526602" w14:textId="77777777" w:rsidR="007A6351" w:rsidRDefault="007A6351" w:rsidP="007A6351">
      <w:pPr>
        <w:pBdr>
          <w:top w:val="nil"/>
          <w:left w:val="nil"/>
          <w:bottom w:val="nil"/>
          <w:right w:val="nil"/>
          <w:between w:val="nil"/>
        </w:pBdr>
        <w:spacing w:line="276" w:lineRule="auto"/>
        <w:rPr>
          <w:rFonts w:eastAsia="Arial" w:cs="Arial"/>
          <w:b/>
          <w:szCs w:val="22"/>
        </w:rPr>
      </w:pPr>
    </w:p>
    <w:p w14:paraId="36202582" w14:textId="77777777" w:rsidR="007A6351" w:rsidRDefault="007A6351" w:rsidP="007A6351">
      <w:pPr>
        <w:spacing w:line="276" w:lineRule="auto"/>
        <w:jc w:val="center"/>
        <w:rPr>
          <w:rFonts w:eastAsia="Arial" w:cs="Arial"/>
          <w:szCs w:val="22"/>
        </w:rPr>
      </w:pPr>
      <w:r>
        <w:rPr>
          <w:rFonts w:eastAsia="Arial" w:cs="Arial"/>
          <w:szCs w:val="22"/>
        </w:rPr>
        <w:t>Présenté par</w:t>
      </w:r>
    </w:p>
    <w:p w14:paraId="0A4BAA59" w14:textId="77777777" w:rsidR="007A6351" w:rsidRDefault="007A6351" w:rsidP="007A6351">
      <w:pPr>
        <w:spacing w:line="276" w:lineRule="auto"/>
        <w:jc w:val="center"/>
        <w:rPr>
          <w:rFonts w:eastAsia="Arial" w:cs="Arial"/>
          <w:szCs w:val="22"/>
        </w:rPr>
      </w:pPr>
      <w:r>
        <w:rPr>
          <w:rFonts w:eastAsia="Arial" w:cs="Arial"/>
          <w:szCs w:val="22"/>
        </w:rPr>
        <w:t>……...</w:t>
      </w:r>
    </w:p>
    <w:p w14:paraId="13D2BBB4" w14:textId="77777777" w:rsidR="007A6351" w:rsidRDefault="007A6351" w:rsidP="007A6351">
      <w:pPr>
        <w:spacing w:line="276" w:lineRule="auto"/>
        <w:jc w:val="center"/>
        <w:rPr>
          <w:rFonts w:eastAsia="Arial" w:cs="Arial"/>
          <w:szCs w:val="22"/>
        </w:rPr>
      </w:pPr>
    </w:p>
    <w:p w14:paraId="167791AE" w14:textId="77777777" w:rsidR="007A6351" w:rsidRDefault="007A6351" w:rsidP="007A6351">
      <w:pPr>
        <w:spacing w:line="276" w:lineRule="auto"/>
        <w:jc w:val="center"/>
        <w:rPr>
          <w:rFonts w:eastAsia="Arial" w:cs="Arial"/>
          <w:szCs w:val="22"/>
        </w:rPr>
      </w:pPr>
      <w:r>
        <w:rPr>
          <w:rFonts w:eastAsia="Arial" w:cs="Arial"/>
          <w:szCs w:val="22"/>
        </w:rPr>
        <w:t>Article additionnel</w:t>
      </w:r>
    </w:p>
    <w:p w14:paraId="041C76EA" w14:textId="77777777" w:rsidR="007A6351" w:rsidRDefault="007A6351" w:rsidP="007A6351">
      <w:pPr>
        <w:spacing w:line="276" w:lineRule="auto"/>
        <w:jc w:val="center"/>
        <w:rPr>
          <w:rFonts w:eastAsia="Arial" w:cs="Arial"/>
          <w:color w:val="000000"/>
          <w:szCs w:val="22"/>
        </w:rPr>
      </w:pPr>
      <w:r>
        <w:rPr>
          <w:rFonts w:eastAsia="Arial" w:cs="Arial"/>
          <w:color w:val="000000"/>
          <w:szCs w:val="22"/>
        </w:rPr>
        <w:t xml:space="preserve">Après l’article </w:t>
      </w:r>
      <w:r>
        <w:rPr>
          <w:rFonts w:eastAsia="Arial" w:cs="Arial"/>
          <w:szCs w:val="22"/>
        </w:rPr>
        <w:t>19,</w:t>
      </w:r>
      <w:r>
        <w:rPr>
          <w:rFonts w:eastAsia="Arial" w:cs="Arial"/>
          <w:color w:val="000000"/>
          <w:szCs w:val="22"/>
        </w:rPr>
        <w:t xml:space="preserve"> </w:t>
      </w:r>
      <w:r>
        <w:rPr>
          <w:rFonts w:eastAsia="Arial" w:cs="Arial"/>
          <w:szCs w:val="22"/>
        </w:rPr>
        <w:t>insérer un article supplémentaire ainsi rédigé :</w:t>
      </w:r>
    </w:p>
    <w:p w14:paraId="530A930C" w14:textId="77777777" w:rsidR="007A6351" w:rsidRDefault="007A6351" w:rsidP="007A6351">
      <w:pPr>
        <w:jc w:val="both"/>
        <w:rPr>
          <w:rFonts w:eastAsia="Arial" w:cs="Arial"/>
          <w:color w:val="000000"/>
          <w:szCs w:val="22"/>
        </w:rPr>
      </w:pPr>
    </w:p>
    <w:p w14:paraId="57B81B5C" w14:textId="77777777" w:rsidR="007A6351" w:rsidRDefault="007A6351" w:rsidP="007A6351">
      <w:pPr>
        <w:spacing w:line="276" w:lineRule="auto"/>
        <w:jc w:val="both"/>
        <w:rPr>
          <w:rFonts w:eastAsia="Arial" w:cs="Arial"/>
          <w:szCs w:val="22"/>
        </w:rPr>
      </w:pPr>
      <w:r>
        <w:rPr>
          <w:rFonts w:eastAsia="Arial" w:cs="Arial"/>
          <w:szCs w:val="22"/>
        </w:rPr>
        <w:t>I. Le Gouvernement remet au Parlement, dans un délai de douze mois à compter de la promulgation de la présente loi, un rapport d’information ayant pour objectif de définir les modalités d’une contribution affectée à toute personne qui produit, vend ou importe des médicaments, des biocides, des produits cosmétiques ou des produits d’hygiène contenant un ou plusieurs micropolluants.</w:t>
      </w:r>
    </w:p>
    <w:p w14:paraId="4CFE76C2" w14:textId="77777777" w:rsidR="007A6351" w:rsidRDefault="007A6351" w:rsidP="007A6351">
      <w:pPr>
        <w:spacing w:line="276" w:lineRule="auto"/>
        <w:jc w:val="both"/>
        <w:rPr>
          <w:rFonts w:eastAsia="Arial" w:cs="Arial"/>
          <w:szCs w:val="22"/>
        </w:rPr>
      </w:pPr>
      <w:r>
        <w:rPr>
          <w:rFonts w:eastAsia="Arial" w:cs="Arial"/>
          <w:szCs w:val="22"/>
        </w:rPr>
        <w:t xml:space="preserve"> </w:t>
      </w:r>
    </w:p>
    <w:p w14:paraId="591EBE40" w14:textId="77777777" w:rsidR="007A6351" w:rsidRDefault="007A6351" w:rsidP="007A6351">
      <w:pPr>
        <w:spacing w:line="276" w:lineRule="auto"/>
        <w:jc w:val="both"/>
        <w:rPr>
          <w:rFonts w:eastAsia="Arial" w:cs="Arial"/>
          <w:szCs w:val="22"/>
        </w:rPr>
      </w:pPr>
      <w:r>
        <w:rPr>
          <w:rFonts w:eastAsia="Arial" w:cs="Arial"/>
          <w:szCs w:val="22"/>
        </w:rPr>
        <w:t>Sont considérés comme des micropolluants, au sens de cet article :</w:t>
      </w:r>
    </w:p>
    <w:p w14:paraId="0B758BEC" w14:textId="77777777" w:rsidR="007A6351" w:rsidRDefault="007A6351" w:rsidP="007A6351">
      <w:pPr>
        <w:spacing w:line="276" w:lineRule="auto"/>
        <w:jc w:val="both"/>
        <w:rPr>
          <w:rFonts w:eastAsia="Arial" w:cs="Arial"/>
          <w:szCs w:val="22"/>
        </w:rPr>
      </w:pPr>
      <w:r>
        <w:rPr>
          <w:rFonts w:eastAsia="Arial" w:cs="Arial"/>
          <w:szCs w:val="22"/>
        </w:rPr>
        <w:t xml:space="preserve"> </w:t>
      </w:r>
    </w:p>
    <w:p w14:paraId="37859B13" w14:textId="77777777" w:rsidR="007A6351" w:rsidRDefault="007A6351" w:rsidP="007A6351">
      <w:pPr>
        <w:spacing w:line="276" w:lineRule="auto"/>
        <w:jc w:val="both"/>
        <w:rPr>
          <w:rFonts w:eastAsia="Arial" w:cs="Arial"/>
          <w:szCs w:val="22"/>
        </w:rPr>
      </w:pPr>
      <w:r>
        <w:rPr>
          <w:rFonts w:eastAsia="Arial" w:cs="Arial"/>
          <w:szCs w:val="22"/>
        </w:rPr>
        <w:t>1° Les substances mentionnées à l’annexe 8 de l’arrêté du 25 janvier 2010 relatif aux méthodes et critères d'évaluation de l'état écologique, de l'état chimique et du potentiel écologique des eaux de surface pris en application des articles R. 212-10, R. 212-11 et R. 212-18 du code de l'environnement</w:t>
      </w:r>
    </w:p>
    <w:p w14:paraId="1B9B068A" w14:textId="77777777" w:rsidR="007A6351" w:rsidRDefault="007A6351" w:rsidP="007A6351">
      <w:pPr>
        <w:spacing w:line="276" w:lineRule="auto"/>
        <w:jc w:val="both"/>
        <w:rPr>
          <w:rFonts w:eastAsia="Arial" w:cs="Arial"/>
          <w:szCs w:val="22"/>
        </w:rPr>
      </w:pPr>
      <w:r>
        <w:rPr>
          <w:rFonts w:eastAsia="Arial" w:cs="Arial"/>
          <w:szCs w:val="22"/>
        </w:rPr>
        <w:t xml:space="preserve"> </w:t>
      </w:r>
    </w:p>
    <w:p w14:paraId="25569F6C" w14:textId="77777777" w:rsidR="007A6351" w:rsidRDefault="007A6351" w:rsidP="007A6351">
      <w:pPr>
        <w:spacing w:line="276" w:lineRule="auto"/>
        <w:jc w:val="both"/>
        <w:rPr>
          <w:rFonts w:eastAsia="Arial" w:cs="Arial"/>
          <w:szCs w:val="22"/>
        </w:rPr>
      </w:pPr>
      <w:r>
        <w:rPr>
          <w:rFonts w:eastAsia="Arial" w:cs="Arial"/>
          <w:szCs w:val="22"/>
        </w:rPr>
        <w:t>2° Les substances mentionnées au tableau 24 de l’annexe II et aux tableaux 25 à 30 de l’annexe III de l’arrêté ministériel du 25 janvier 2010 modifié relatif au programme de surveillance.</w:t>
      </w:r>
    </w:p>
    <w:p w14:paraId="072EAA0F" w14:textId="77777777" w:rsidR="007A6351" w:rsidRDefault="007A6351" w:rsidP="007A6351">
      <w:pPr>
        <w:spacing w:line="276" w:lineRule="auto"/>
        <w:jc w:val="both"/>
        <w:rPr>
          <w:rFonts w:eastAsia="Arial" w:cs="Arial"/>
          <w:szCs w:val="22"/>
        </w:rPr>
      </w:pPr>
      <w:r>
        <w:rPr>
          <w:rFonts w:eastAsia="Arial" w:cs="Arial"/>
          <w:szCs w:val="22"/>
        </w:rPr>
        <w:t xml:space="preserve"> </w:t>
      </w:r>
    </w:p>
    <w:p w14:paraId="243EC14A" w14:textId="77777777" w:rsidR="007A6351" w:rsidRDefault="007A6351" w:rsidP="007A6351">
      <w:pPr>
        <w:spacing w:line="276" w:lineRule="auto"/>
        <w:jc w:val="both"/>
        <w:rPr>
          <w:rFonts w:eastAsia="Arial" w:cs="Arial"/>
          <w:szCs w:val="22"/>
        </w:rPr>
      </w:pPr>
      <w:r>
        <w:rPr>
          <w:rFonts w:eastAsia="Arial" w:cs="Arial"/>
          <w:szCs w:val="22"/>
        </w:rPr>
        <w:t>3° Les substances mentionnées par la décision d’exécution UE 2018/840 de la Commission établissant une liste de vigilance relative aux substances soumises à surveillance à l'échelle de l'Union dans le domaine de la politique de l'eau en vertu de la directive 2008/105/CE du Parlement européen et du Conseil et abrogeant la décision d'exécution (UE) 2015/495 de la Commission.</w:t>
      </w:r>
    </w:p>
    <w:p w14:paraId="168A046F" w14:textId="77777777" w:rsidR="007A6351" w:rsidRDefault="007A6351" w:rsidP="007A6351">
      <w:pPr>
        <w:spacing w:line="276" w:lineRule="auto"/>
        <w:jc w:val="both"/>
        <w:rPr>
          <w:rFonts w:eastAsia="Arial" w:cs="Arial"/>
          <w:szCs w:val="22"/>
        </w:rPr>
      </w:pPr>
      <w:r>
        <w:rPr>
          <w:rFonts w:eastAsia="Arial" w:cs="Arial"/>
          <w:szCs w:val="22"/>
        </w:rPr>
        <w:t xml:space="preserve"> </w:t>
      </w:r>
    </w:p>
    <w:p w14:paraId="47D8D3EA" w14:textId="77777777" w:rsidR="007A6351" w:rsidRDefault="007A6351" w:rsidP="007A6351">
      <w:pPr>
        <w:spacing w:line="276" w:lineRule="auto"/>
        <w:jc w:val="both"/>
        <w:rPr>
          <w:rFonts w:eastAsia="Arial" w:cs="Arial"/>
          <w:szCs w:val="22"/>
        </w:rPr>
      </w:pPr>
      <w:r>
        <w:rPr>
          <w:rFonts w:eastAsia="Arial" w:cs="Arial"/>
          <w:szCs w:val="22"/>
        </w:rPr>
        <w:t>II. Le rapport étudie les scénarios de taxation sur les personnes mentionnées au I, notamment un élargissement de la redevance pour pollution diffuse perçue par les Agences de l’eau. Le rapport définit également les besoins de soutien financier des collectivités pour mener des actions préventives et curatives pour lutter contre les micropolluants via les services publics de gestion de l’eau. Enfin le rapport étudie les mécanismes de perception de la contribution et de redistribution de la contribution.</w:t>
      </w:r>
    </w:p>
    <w:p w14:paraId="64469DAF" w14:textId="77777777" w:rsidR="007A6351" w:rsidRDefault="007A6351" w:rsidP="007A6351">
      <w:pPr>
        <w:spacing w:line="276" w:lineRule="auto"/>
        <w:jc w:val="both"/>
        <w:rPr>
          <w:rFonts w:eastAsia="Arial" w:cs="Arial"/>
          <w:szCs w:val="22"/>
        </w:rPr>
      </w:pPr>
      <w:r>
        <w:rPr>
          <w:rFonts w:eastAsia="Arial" w:cs="Arial"/>
          <w:szCs w:val="22"/>
        </w:rPr>
        <w:t xml:space="preserve"> </w:t>
      </w:r>
    </w:p>
    <w:p w14:paraId="041C2F13" w14:textId="77777777" w:rsidR="007A6351" w:rsidRDefault="007A6351" w:rsidP="007A6351">
      <w:pPr>
        <w:spacing w:line="276" w:lineRule="auto"/>
        <w:jc w:val="both"/>
        <w:rPr>
          <w:rFonts w:eastAsia="Arial" w:cs="Arial"/>
          <w:szCs w:val="22"/>
        </w:rPr>
      </w:pPr>
      <w:r>
        <w:rPr>
          <w:rFonts w:eastAsia="Arial" w:cs="Arial"/>
          <w:szCs w:val="22"/>
        </w:rPr>
        <w:t>III. Au vu des conclusions de ce rapport, la loi fixe avant le 1</w:t>
      </w:r>
      <w:r>
        <w:rPr>
          <w:rFonts w:eastAsia="Arial" w:cs="Arial"/>
          <w:szCs w:val="22"/>
          <w:vertAlign w:val="superscript"/>
        </w:rPr>
        <w:t>er</w:t>
      </w:r>
      <w:r>
        <w:rPr>
          <w:rFonts w:eastAsia="Arial" w:cs="Arial"/>
          <w:szCs w:val="22"/>
        </w:rPr>
        <w:t xml:space="preserve"> janvier 2024 les modalités de la contribution des metteurs sur le marché des produits contenant des micropolluants en application du principe pollueur-payeur en déterminant son assiette, son taux et ses modalités de recouvrement. Un décret d’application fixe la liste des micropolluants</w:t>
      </w:r>
      <w:r>
        <w:rPr>
          <w:rFonts w:eastAsia="Arial" w:cs="Arial"/>
          <w:color w:val="FF0000"/>
          <w:szCs w:val="22"/>
        </w:rPr>
        <w:t xml:space="preserve"> </w:t>
      </w:r>
      <w:r>
        <w:rPr>
          <w:rFonts w:eastAsia="Arial" w:cs="Arial"/>
          <w:szCs w:val="22"/>
        </w:rPr>
        <w:t>concernés.</w:t>
      </w:r>
    </w:p>
    <w:p w14:paraId="48469FFA" w14:textId="77777777" w:rsidR="007A6351" w:rsidRDefault="007A6351" w:rsidP="007A6351">
      <w:pPr>
        <w:spacing w:line="276" w:lineRule="auto"/>
        <w:jc w:val="center"/>
        <w:rPr>
          <w:rFonts w:eastAsia="Arial" w:cs="Arial"/>
          <w:b/>
          <w:szCs w:val="22"/>
        </w:rPr>
      </w:pPr>
    </w:p>
    <w:p w14:paraId="58741CE0" w14:textId="77777777" w:rsidR="007A6351" w:rsidRDefault="007A6351" w:rsidP="007A6351">
      <w:pPr>
        <w:spacing w:line="276" w:lineRule="auto"/>
        <w:jc w:val="center"/>
        <w:rPr>
          <w:rFonts w:eastAsia="Arial" w:cs="Arial"/>
          <w:b/>
          <w:szCs w:val="22"/>
        </w:rPr>
      </w:pPr>
      <w:r>
        <w:rPr>
          <w:rFonts w:eastAsia="Arial" w:cs="Arial"/>
          <w:b/>
          <w:szCs w:val="22"/>
        </w:rPr>
        <w:t>Exposé sommaire</w:t>
      </w:r>
    </w:p>
    <w:p w14:paraId="79849C28" w14:textId="77777777" w:rsidR="007A6351" w:rsidRDefault="007A6351" w:rsidP="007A6351">
      <w:pPr>
        <w:spacing w:line="276" w:lineRule="auto"/>
        <w:jc w:val="both"/>
        <w:rPr>
          <w:rFonts w:eastAsia="Arial" w:cs="Arial"/>
          <w:szCs w:val="22"/>
        </w:rPr>
      </w:pPr>
      <w:r>
        <w:rPr>
          <w:rFonts w:eastAsia="Arial" w:cs="Arial"/>
          <w:szCs w:val="22"/>
        </w:rPr>
        <w:t xml:space="preserve"> </w:t>
      </w:r>
    </w:p>
    <w:p w14:paraId="6F67A21D" w14:textId="77777777" w:rsidR="007A6351" w:rsidRDefault="007A6351" w:rsidP="007A6351">
      <w:pPr>
        <w:spacing w:line="276" w:lineRule="auto"/>
        <w:jc w:val="both"/>
        <w:rPr>
          <w:rFonts w:eastAsia="Arial" w:cs="Arial"/>
          <w:szCs w:val="22"/>
        </w:rPr>
      </w:pPr>
      <w:r>
        <w:rPr>
          <w:rFonts w:eastAsia="Arial" w:cs="Arial"/>
          <w:szCs w:val="22"/>
        </w:rPr>
        <w:t xml:space="preserve">Cet amendement vise à établir un rapport évaluant les modalités de contribution des metteurs sur le marché de produits contenant des micropolluants, y compris les produits du quotidien. Les micropolluants des milieux aquatiques sont des substances issues de produits </w:t>
      </w:r>
      <w:r>
        <w:rPr>
          <w:rFonts w:eastAsia="Arial" w:cs="Arial"/>
          <w:szCs w:val="22"/>
        </w:rPr>
        <w:lastRenderedPageBreak/>
        <w:t xml:space="preserve">commerciaux ou industriels, composés organiques ou métalliques, susceptibles d’avoir une action toxique pour l’homme et/ou les organismes aquatiques, y compris à des concentrations très faibles dans l’eau. </w:t>
      </w:r>
    </w:p>
    <w:p w14:paraId="75C32ED7" w14:textId="77777777" w:rsidR="007A6351" w:rsidRDefault="007A6351" w:rsidP="007A6351">
      <w:pPr>
        <w:spacing w:line="276" w:lineRule="auto"/>
        <w:jc w:val="both"/>
        <w:rPr>
          <w:rFonts w:eastAsia="Arial" w:cs="Arial"/>
          <w:szCs w:val="22"/>
        </w:rPr>
      </w:pPr>
    </w:p>
    <w:p w14:paraId="5BE8D521" w14:textId="77777777" w:rsidR="007A6351" w:rsidRDefault="007A6351" w:rsidP="007A6351">
      <w:pPr>
        <w:spacing w:line="276" w:lineRule="auto"/>
        <w:jc w:val="both"/>
        <w:rPr>
          <w:rFonts w:eastAsia="Arial" w:cs="Arial"/>
          <w:szCs w:val="22"/>
        </w:rPr>
      </w:pPr>
      <w:r>
        <w:rPr>
          <w:rFonts w:eastAsia="Arial" w:cs="Arial"/>
          <w:szCs w:val="22"/>
        </w:rPr>
        <w:t xml:space="preserve">Certains médicaments, biocides ménagers, produits cosmétiques ou d’hygiène en contiennent. L’Agence européenne des produits chimiques dénombrait ainsi plus de 20 000 substances mises sur le marché en mai 2018, dans le règlement REACH, substances qui peuvent potentiellement se retrouver dans l’environnement et pour certaines avoir une incidence sur les espèces vivantes. Plusieurs centaines de nouvelles substances sont également mises sur le marché chaque année par les industriels. </w:t>
      </w:r>
    </w:p>
    <w:p w14:paraId="0E4549E7" w14:textId="77777777" w:rsidR="007A6351" w:rsidRDefault="007A6351" w:rsidP="007A6351">
      <w:pPr>
        <w:spacing w:line="276" w:lineRule="auto"/>
        <w:jc w:val="both"/>
        <w:rPr>
          <w:rFonts w:eastAsia="Arial" w:cs="Arial"/>
          <w:szCs w:val="22"/>
        </w:rPr>
      </w:pPr>
    </w:p>
    <w:p w14:paraId="1330E083" w14:textId="77777777" w:rsidR="007A6351" w:rsidRDefault="007A6351" w:rsidP="007A6351">
      <w:pPr>
        <w:spacing w:line="276" w:lineRule="auto"/>
        <w:jc w:val="both"/>
        <w:rPr>
          <w:rFonts w:eastAsia="Arial" w:cs="Arial"/>
          <w:szCs w:val="22"/>
        </w:rPr>
      </w:pPr>
      <w:r>
        <w:rPr>
          <w:rFonts w:eastAsia="Arial" w:cs="Arial"/>
          <w:szCs w:val="22"/>
        </w:rPr>
        <w:t>Sans préjuger des conclusions du rapport, l’un des mécanismes les plus simples et opérationnels à mettre en œuvre serait un élargissement de la redevance pour pollutions diffuses perçue par les Agences de l’Eau à des familles de substances qui ne sont pas visées aujourd’hui, bien qu’elles contribuent largement à la pollution des cours d’eau.</w:t>
      </w:r>
    </w:p>
    <w:p w14:paraId="5521C0E7" w14:textId="77777777" w:rsidR="007A6351" w:rsidRDefault="007A6351" w:rsidP="007A6351">
      <w:pPr>
        <w:spacing w:line="276" w:lineRule="auto"/>
        <w:jc w:val="both"/>
        <w:rPr>
          <w:rFonts w:eastAsia="Arial" w:cs="Arial"/>
          <w:szCs w:val="22"/>
        </w:rPr>
      </w:pPr>
      <w:r>
        <w:rPr>
          <w:rFonts w:eastAsia="Arial" w:cs="Arial"/>
          <w:szCs w:val="22"/>
        </w:rPr>
        <w:t xml:space="preserve"> </w:t>
      </w:r>
    </w:p>
    <w:p w14:paraId="0AF24A6B" w14:textId="77777777" w:rsidR="007A6351" w:rsidRDefault="007A6351" w:rsidP="007A6351">
      <w:pPr>
        <w:spacing w:line="276" w:lineRule="auto"/>
        <w:jc w:val="both"/>
        <w:rPr>
          <w:rFonts w:eastAsia="Arial" w:cs="Arial"/>
          <w:szCs w:val="22"/>
        </w:rPr>
      </w:pPr>
      <w:r>
        <w:rPr>
          <w:rFonts w:eastAsia="Arial" w:cs="Arial"/>
          <w:szCs w:val="22"/>
        </w:rPr>
        <w:t>Ces micropolluants peuvent se retrouver dans les milieux aquatiques de multiples façons : rejets aqueux des industriels, lessivage des champs et des espaces naturels, rejets dans les eaux usées domestiques de résidus de médicaments, produits d’hygiène corporelle et domestique ou encore par la dégradation de dépôts sauvages directement dans les milieux aquatiques. La lutte contre les micropolluants constitue une problématique complexe qui nécessite des actions préventives (réduction à la source) et curatives (interception et traitement des micropolluants).</w:t>
      </w:r>
    </w:p>
    <w:p w14:paraId="0C1D9EF3" w14:textId="77777777" w:rsidR="007A6351" w:rsidRDefault="007A6351" w:rsidP="007A6351">
      <w:pPr>
        <w:spacing w:line="276" w:lineRule="auto"/>
        <w:jc w:val="both"/>
        <w:rPr>
          <w:rFonts w:eastAsia="Arial" w:cs="Arial"/>
          <w:szCs w:val="22"/>
        </w:rPr>
      </w:pPr>
      <w:r>
        <w:rPr>
          <w:rFonts w:eastAsia="Arial" w:cs="Arial"/>
          <w:szCs w:val="22"/>
        </w:rPr>
        <w:t xml:space="preserve"> </w:t>
      </w:r>
    </w:p>
    <w:p w14:paraId="67678CF8" w14:textId="77777777" w:rsidR="007A6351" w:rsidRDefault="007A6351" w:rsidP="007A6351">
      <w:pPr>
        <w:spacing w:line="276" w:lineRule="auto"/>
        <w:jc w:val="both"/>
        <w:rPr>
          <w:rFonts w:eastAsia="Arial" w:cs="Arial"/>
          <w:szCs w:val="22"/>
        </w:rPr>
      </w:pPr>
      <w:r>
        <w:rPr>
          <w:rFonts w:eastAsia="Arial" w:cs="Arial"/>
          <w:szCs w:val="22"/>
        </w:rPr>
        <w:t>Les dispositifs de soutien financier existants, notamment via les Agences de l’eau, et quelques Responsabilités élargies du producteur (REP) concernées à la marge, ne couvrent pas ces actions à grande échelle à l’heure actuelle. Le rapport proposé par cet amendement constituerait ainsi une première étape vers l’extension de la contribution des metteurs sur le marché pour disposer, dans les territoires, de moyens financiers permettant d’aller plus loin dans la lutte contre les micropolluants, un enjeu environnemental et sanitaire majeur dans les prochaines années.</w:t>
      </w:r>
    </w:p>
    <w:p w14:paraId="0A97E4E2" w14:textId="77777777" w:rsidR="007A6351" w:rsidRDefault="007A6351" w:rsidP="007A6351">
      <w:pPr>
        <w:spacing w:line="276" w:lineRule="auto"/>
        <w:jc w:val="both"/>
        <w:rPr>
          <w:rFonts w:eastAsia="Arial" w:cs="Arial"/>
          <w:szCs w:val="22"/>
        </w:rPr>
      </w:pPr>
      <w:r>
        <w:rPr>
          <w:rFonts w:eastAsia="Arial" w:cs="Arial"/>
          <w:szCs w:val="22"/>
        </w:rPr>
        <w:t xml:space="preserve"> </w:t>
      </w:r>
    </w:p>
    <w:p w14:paraId="00345CF7" w14:textId="77777777" w:rsidR="007A6351" w:rsidRDefault="007A6351" w:rsidP="007A6351">
      <w:pPr>
        <w:spacing w:line="276" w:lineRule="auto"/>
        <w:jc w:val="both"/>
        <w:rPr>
          <w:rFonts w:eastAsia="Arial" w:cs="Arial"/>
          <w:szCs w:val="22"/>
        </w:rPr>
      </w:pPr>
      <w:r>
        <w:rPr>
          <w:rFonts w:eastAsia="Arial" w:cs="Arial"/>
          <w:szCs w:val="22"/>
        </w:rPr>
        <w:t>Pour éviter toute contestation sur la nocivité des substances, les micropolluants concernés par cet amendement font partie de listes de vigilance d’ores et déjà existantes au niveau français et européen : SDE / SDPE (substances dangereuses (prioritaire) pour l’eau), PSEE (Polluants spécifiques de l'état écologique). Cet amendement qui participe à la reconquête de la qualité des eaux et à la réduction de la pollution du milieu naturel s’inscrit dans la logique de l’article 19 du projet de loi et renforce les mesures du Titre V « se nourrir » plus sainement.</w:t>
      </w:r>
    </w:p>
    <w:p w14:paraId="73DF1F4F" w14:textId="77777777" w:rsidR="007A6351" w:rsidRDefault="007A6351" w:rsidP="007A6351">
      <w:pPr>
        <w:spacing w:line="276" w:lineRule="auto"/>
        <w:jc w:val="both"/>
        <w:rPr>
          <w:rFonts w:eastAsia="Arial" w:cs="Arial"/>
          <w:szCs w:val="22"/>
        </w:rPr>
      </w:pPr>
    </w:p>
    <w:p w14:paraId="1BE75A96" w14:textId="77777777" w:rsidR="007A6351" w:rsidRDefault="007A6351" w:rsidP="00066E33">
      <w:pPr>
        <w:pStyle w:val="Sansinterligne"/>
        <w:rPr>
          <w:rFonts w:eastAsia="Arial"/>
        </w:rPr>
      </w:pPr>
    </w:p>
    <w:p w14:paraId="0D378DD4" w14:textId="77777777" w:rsidR="007A6351" w:rsidRDefault="007A6351" w:rsidP="00066E33">
      <w:pPr>
        <w:pStyle w:val="Sansinterligne"/>
        <w:rPr>
          <w:rFonts w:eastAsia="Arial"/>
        </w:rPr>
      </w:pPr>
    </w:p>
    <w:p w14:paraId="7442DE8E" w14:textId="77777777" w:rsidR="007A6351" w:rsidRDefault="007A6351">
      <w:pPr>
        <w:pBdr>
          <w:top w:val="none" w:sz="0" w:space="0" w:color="000000"/>
          <w:left w:val="none" w:sz="0" w:space="0" w:color="000000"/>
          <w:bottom w:val="none" w:sz="0" w:space="0" w:color="000000"/>
          <w:right w:val="none" w:sz="0" w:space="0" w:color="000000"/>
          <w:between w:val="none" w:sz="0" w:space="0" w:color="000000"/>
        </w:pBdr>
        <w:rPr>
          <w:rFonts w:eastAsia="Arial"/>
          <w:b/>
        </w:rPr>
      </w:pPr>
      <w:r>
        <w:rPr>
          <w:rFonts w:eastAsia="Arial"/>
        </w:rPr>
        <w:br w:type="page"/>
      </w:r>
    </w:p>
    <w:p w14:paraId="283E7DD1" w14:textId="29809446" w:rsidR="00066E33" w:rsidRPr="00C72202" w:rsidRDefault="00066E33" w:rsidP="00066E33">
      <w:pPr>
        <w:pStyle w:val="Sansinterligne"/>
        <w:rPr>
          <w:rFonts w:eastAsia="Arial"/>
        </w:rPr>
      </w:pPr>
      <w:bookmarkStart w:id="59" w:name="_Toc65687448"/>
      <w:r w:rsidRPr="00C72202">
        <w:rPr>
          <w:rFonts w:eastAsia="Arial"/>
        </w:rPr>
        <w:lastRenderedPageBreak/>
        <w:t>Amendement n°</w:t>
      </w:r>
      <w:bookmarkStart w:id="60" w:name="_heading=h.53tsmfpfvan" w:colFirst="0" w:colLast="0"/>
      <w:bookmarkEnd w:id="60"/>
      <w:r w:rsidRPr="00C72202">
        <w:rPr>
          <w:rFonts w:eastAsia="Arial"/>
        </w:rPr>
        <w:t>1</w:t>
      </w:r>
      <w:r w:rsidR="006B77C2">
        <w:rPr>
          <w:rFonts w:eastAsia="Arial"/>
        </w:rPr>
        <w:t>3</w:t>
      </w:r>
      <w:r w:rsidRPr="00C72202">
        <w:rPr>
          <w:rFonts w:eastAsia="Arial"/>
        </w:rPr>
        <w:t xml:space="preserve"> </w:t>
      </w:r>
      <w:r>
        <w:rPr>
          <w:rFonts w:eastAsia="Arial"/>
        </w:rPr>
        <w:t xml:space="preserve">(Prioritaire) </w:t>
      </w:r>
      <w:r w:rsidRPr="00C72202">
        <w:rPr>
          <w:rFonts w:eastAsia="Arial"/>
        </w:rPr>
        <w:t xml:space="preserve">- Assurer la déclinaison territoriale de l'ensemble des objectifs de la programmation pluriannuelle de l'énergie en concertation avec les </w:t>
      </w:r>
      <w:r>
        <w:rPr>
          <w:rFonts w:eastAsia="Arial"/>
        </w:rPr>
        <w:t>R</w:t>
      </w:r>
      <w:r w:rsidRPr="00C72202">
        <w:rPr>
          <w:rFonts w:eastAsia="Arial"/>
        </w:rPr>
        <w:t>égions</w:t>
      </w:r>
      <w:bookmarkEnd w:id="54"/>
      <w:bookmarkEnd w:id="55"/>
      <w:bookmarkEnd w:id="56"/>
      <w:bookmarkEnd w:id="59"/>
      <w:r w:rsidRPr="00C72202">
        <w:rPr>
          <w:rFonts w:eastAsia="Arial"/>
        </w:rPr>
        <w:t xml:space="preserve"> </w:t>
      </w:r>
    </w:p>
    <w:p w14:paraId="006D8496" w14:textId="77777777" w:rsidR="00066E33" w:rsidRDefault="00066E33" w:rsidP="00066E33">
      <w:pPr>
        <w:ind w:left="360"/>
        <w:jc w:val="center"/>
        <w:rPr>
          <w:rFonts w:eastAsia="Arial" w:cs="Arial"/>
          <w:b/>
          <w:szCs w:val="22"/>
        </w:rPr>
      </w:pPr>
      <w:bookmarkStart w:id="61" w:name="_heading=h.iwa075p658m0" w:colFirst="0" w:colLast="0"/>
      <w:bookmarkEnd w:id="61"/>
    </w:p>
    <w:p w14:paraId="048410D0" w14:textId="77777777" w:rsidR="00066E33" w:rsidRDefault="00066E33" w:rsidP="00066E33">
      <w:pPr>
        <w:jc w:val="center"/>
        <w:rPr>
          <w:rFonts w:eastAsia="Arial" w:cs="Arial"/>
          <w:szCs w:val="22"/>
        </w:rPr>
      </w:pPr>
      <w:r>
        <w:rPr>
          <w:rFonts w:eastAsia="Arial" w:cs="Arial"/>
          <w:szCs w:val="22"/>
        </w:rPr>
        <w:t>Présenté par</w:t>
      </w:r>
    </w:p>
    <w:p w14:paraId="5985B662" w14:textId="77777777" w:rsidR="00066E33" w:rsidRDefault="00066E33" w:rsidP="00066E33">
      <w:pPr>
        <w:jc w:val="center"/>
        <w:rPr>
          <w:rFonts w:eastAsia="Arial" w:cs="Arial"/>
          <w:szCs w:val="22"/>
        </w:rPr>
      </w:pPr>
      <w:r>
        <w:rPr>
          <w:rFonts w:eastAsia="Arial" w:cs="Arial"/>
          <w:szCs w:val="22"/>
        </w:rPr>
        <w:t>……...</w:t>
      </w:r>
    </w:p>
    <w:p w14:paraId="79B2A320" w14:textId="77777777" w:rsidR="00066E33" w:rsidRDefault="00066E33" w:rsidP="00066E33">
      <w:pPr>
        <w:rPr>
          <w:rFonts w:eastAsia="Arial" w:cs="Arial"/>
          <w:szCs w:val="22"/>
        </w:rPr>
      </w:pPr>
      <w:r>
        <w:rPr>
          <w:rFonts w:eastAsia="Arial" w:cs="Arial"/>
          <w:szCs w:val="22"/>
        </w:rPr>
        <w:t xml:space="preserve"> </w:t>
      </w:r>
    </w:p>
    <w:p w14:paraId="5528F530" w14:textId="77777777" w:rsidR="00066E33" w:rsidRDefault="00066E33" w:rsidP="00066E33">
      <w:pPr>
        <w:jc w:val="center"/>
        <w:rPr>
          <w:rFonts w:eastAsia="Arial" w:cs="Arial"/>
          <w:szCs w:val="22"/>
        </w:rPr>
      </w:pPr>
      <w:r>
        <w:rPr>
          <w:rFonts w:eastAsia="Arial" w:cs="Arial"/>
          <w:szCs w:val="22"/>
        </w:rPr>
        <w:t>Modifier l’article 22</w:t>
      </w:r>
    </w:p>
    <w:p w14:paraId="1F53284D" w14:textId="77777777" w:rsidR="00066E33" w:rsidRDefault="00066E33" w:rsidP="00066E33">
      <w:pPr>
        <w:jc w:val="center"/>
        <w:rPr>
          <w:rFonts w:eastAsia="Arial" w:cs="Arial"/>
          <w:szCs w:val="22"/>
        </w:rPr>
      </w:pPr>
    </w:p>
    <w:p w14:paraId="543DE119" w14:textId="77777777" w:rsidR="00066E33" w:rsidRDefault="00066E33" w:rsidP="00066E33">
      <w:pPr>
        <w:rPr>
          <w:rFonts w:eastAsia="Arial" w:cs="Arial"/>
          <w:b/>
          <w:szCs w:val="22"/>
          <w:u w:val="single"/>
        </w:rPr>
      </w:pPr>
      <w:bookmarkStart w:id="62" w:name="_heading=h.ea2cgyoh6ljt" w:colFirst="0" w:colLast="0"/>
      <w:bookmarkEnd w:id="62"/>
    </w:p>
    <w:p w14:paraId="64F14EBA" w14:textId="77777777" w:rsidR="00066E33" w:rsidRDefault="00066E33" w:rsidP="00066E33">
      <w:pPr>
        <w:rPr>
          <w:rFonts w:eastAsia="Arial" w:cs="Arial"/>
          <w:szCs w:val="22"/>
        </w:rPr>
      </w:pPr>
      <w:r>
        <w:rPr>
          <w:rFonts w:eastAsia="Arial" w:cs="Arial"/>
          <w:szCs w:val="22"/>
        </w:rPr>
        <w:t>Modifier ainsi l’article 22 :</w:t>
      </w:r>
    </w:p>
    <w:p w14:paraId="18661CD3" w14:textId="77777777" w:rsidR="00066E33" w:rsidRDefault="00066E33" w:rsidP="00066E33">
      <w:pPr>
        <w:ind w:left="360"/>
        <w:rPr>
          <w:rFonts w:eastAsia="Arial" w:cs="Arial"/>
          <w:szCs w:val="22"/>
        </w:rPr>
      </w:pPr>
      <w:bookmarkStart w:id="63" w:name="_heading=h.4bc9k5gnfx37" w:colFirst="0" w:colLast="0"/>
      <w:bookmarkEnd w:id="63"/>
    </w:p>
    <w:p w14:paraId="206C89AB" w14:textId="77777777" w:rsidR="00066E33" w:rsidRDefault="00066E33" w:rsidP="00066E33">
      <w:pPr>
        <w:rPr>
          <w:rFonts w:eastAsia="Arial" w:cs="Arial"/>
          <w:szCs w:val="22"/>
        </w:rPr>
      </w:pPr>
      <w:bookmarkStart w:id="64" w:name="_heading=h.c5vf03wpp480" w:colFirst="0" w:colLast="0"/>
      <w:bookmarkEnd w:id="64"/>
      <w:r>
        <w:rPr>
          <w:rFonts w:eastAsia="Arial" w:cs="Arial"/>
          <w:szCs w:val="22"/>
        </w:rPr>
        <w:t>I. A l’alinéa 5, remplacer les termes « de développement des énergies renouvelables » par les termes “déclinant les objectifs de la programmation pluriannuelle de l’énergie » ;</w:t>
      </w:r>
    </w:p>
    <w:p w14:paraId="7EEA35BE" w14:textId="77777777" w:rsidR="00066E33" w:rsidRDefault="00066E33" w:rsidP="00066E33">
      <w:pPr>
        <w:rPr>
          <w:rFonts w:eastAsia="Arial" w:cs="Arial"/>
          <w:szCs w:val="22"/>
        </w:rPr>
      </w:pPr>
      <w:bookmarkStart w:id="65" w:name="_heading=h.jn7g1fjivz7u" w:colFirst="0" w:colLast="0"/>
      <w:bookmarkEnd w:id="65"/>
    </w:p>
    <w:p w14:paraId="7A1CA4F1" w14:textId="77777777" w:rsidR="00066E33" w:rsidRDefault="00066E33" w:rsidP="00066E33">
      <w:pPr>
        <w:rPr>
          <w:rFonts w:eastAsia="Arial" w:cs="Arial"/>
          <w:szCs w:val="22"/>
        </w:rPr>
      </w:pPr>
      <w:bookmarkStart w:id="66" w:name="_heading=h.6uuj2rad1suh" w:colFirst="0" w:colLast="0"/>
      <w:bookmarkEnd w:id="66"/>
      <w:r>
        <w:rPr>
          <w:rFonts w:eastAsia="Arial" w:cs="Arial"/>
          <w:szCs w:val="22"/>
        </w:rPr>
        <w:t xml:space="preserve">II. A l’alinéa 8, remplacer les termes « développement des énergies renouvelables et de </w:t>
      </w:r>
      <w:proofErr w:type="gramStart"/>
      <w:r>
        <w:rPr>
          <w:rFonts w:eastAsia="Arial" w:cs="Arial"/>
          <w:szCs w:val="22"/>
        </w:rPr>
        <w:t>récupération exprimés</w:t>
      </w:r>
      <w:proofErr w:type="gramEnd"/>
      <w:r>
        <w:rPr>
          <w:rFonts w:eastAsia="Arial" w:cs="Arial"/>
          <w:szCs w:val="22"/>
        </w:rPr>
        <w:t xml:space="preserve"> par filière » par les termes « en compatibilité avec les objectifs de la programmation pluriannuelle de l'énergie » ;</w:t>
      </w:r>
    </w:p>
    <w:p w14:paraId="37F0B98C" w14:textId="77777777" w:rsidR="00066E33" w:rsidRDefault="00066E33" w:rsidP="00066E33">
      <w:pPr>
        <w:rPr>
          <w:rFonts w:eastAsia="Arial" w:cs="Arial"/>
          <w:szCs w:val="22"/>
        </w:rPr>
      </w:pPr>
      <w:bookmarkStart w:id="67" w:name="_heading=h.zbd3gh9ewqnq" w:colFirst="0" w:colLast="0"/>
      <w:bookmarkEnd w:id="67"/>
    </w:p>
    <w:p w14:paraId="290AFD69" w14:textId="77777777" w:rsidR="00066E33" w:rsidRDefault="00066E33" w:rsidP="00066E33">
      <w:pPr>
        <w:rPr>
          <w:rFonts w:eastAsia="Arial" w:cs="Arial"/>
          <w:szCs w:val="22"/>
        </w:rPr>
      </w:pPr>
      <w:bookmarkStart w:id="68" w:name="_heading=h.35tfv2kjt6a7" w:colFirst="0" w:colLast="0"/>
      <w:bookmarkEnd w:id="68"/>
      <w:r>
        <w:rPr>
          <w:rFonts w:eastAsia="Arial" w:cs="Arial"/>
          <w:szCs w:val="22"/>
        </w:rPr>
        <w:t>III. A l’alinéa 11, remplacer les termes “dans les six mois” par les termes “Sous un an”.</w:t>
      </w:r>
    </w:p>
    <w:p w14:paraId="25A87EE9" w14:textId="77777777" w:rsidR="00066E33" w:rsidRDefault="00066E33" w:rsidP="00066E33">
      <w:pPr>
        <w:rPr>
          <w:rFonts w:eastAsia="Arial" w:cs="Arial"/>
          <w:szCs w:val="22"/>
        </w:rPr>
      </w:pPr>
      <w:bookmarkStart w:id="69" w:name="_heading=h.k06ocerfihhf" w:colFirst="0" w:colLast="0"/>
      <w:bookmarkEnd w:id="69"/>
    </w:p>
    <w:p w14:paraId="4C197B59" w14:textId="77777777" w:rsidR="00066E33" w:rsidRDefault="00066E33" w:rsidP="00066E33">
      <w:pPr>
        <w:rPr>
          <w:rFonts w:eastAsia="Arial" w:cs="Arial"/>
          <w:szCs w:val="22"/>
        </w:rPr>
      </w:pPr>
      <w:bookmarkStart w:id="70" w:name="_heading=h.moowhgbxf8yp" w:colFirst="0" w:colLast="0"/>
      <w:bookmarkEnd w:id="70"/>
      <w:r>
        <w:rPr>
          <w:rFonts w:eastAsia="Arial" w:cs="Arial"/>
          <w:szCs w:val="22"/>
        </w:rPr>
        <w:t>IV. Après l’alinéa 11, rajouter un alinéa ainsi rédigé :</w:t>
      </w:r>
    </w:p>
    <w:p w14:paraId="089DE2D9" w14:textId="77777777" w:rsidR="00066E33" w:rsidRDefault="00066E33" w:rsidP="00066E33">
      <w:pPr>
        <w:ind w:left="708"/>
        <w:rPr>
          <w:rFonts w:eastAsia="Arial" w:cs="Arial"/>
          <w:szCs w:val="22"/>
        </w:rPr>
      </w:pPr>
      <w:bookmarkStart w:id="71" w:name="_heading=h.8hqr2zvt5zic" w:colFirst="0" w:colLast="0"/>
      <w:bookmarkEnd w:id="71"/>
      <w:r>
        <w:rPr>
          <w:rFonts w:eastAsia="Arial" w:cs="Arial"/>
          <w:szCs w:val="22"/>
        </w:rPr>
        <w:t>“VI. - Les dispositifs d’aide nationaux au développement des énergies renouvelables électriques sont adaptés en fonction des objectifs déclinés par les régions en application du d, 2° de l’article L. 4251-2 du code général des collectivités territoriales.”</w:t>
      </w:r>
    </w:p>
    <w:p w14:paraId="2C144652" w14:textId="77777777" w:rsidR="00066E33" w:rsidRDefault="00066E33" w:rsidP="00066E33">
      <w:pPr>
        <w:rPr>
          <w:rFonts w:eastAsia="Arial" w:cs="Arial"/>
          <w:szCs w:val="22"/>
        </w:rPr>
      </w:pPr>
      <w:bookmarkStart w:id="72" w:name="_heading=h.1ld7zydq4ieg" w:colFirst="0" w:colLast="0"/>
      <w:bookmarkEnd w:id="72"/>
    </w:p>
    <w:p w14:paraId="20DA8711" w14:textId="77777777" w:rsidR="00066E33" w:rsidRPr="00C72202" w:rsidRDefault="00066E33" w:rsidP="00066E33">
      <w:pPr>
        <w:jc w:val="center"/>
        <w:rPr>
          <w:rFonts w:eastAsia="Arial" w:cs="Arial"/>
          <w:b/>
          <w:szCs w:val="22"/>
        </w:rPr>
      </w:pPr>
      <w:bookmarkStart w:id="73" w:name="_heading=h.rbnm97ol3umz" w:colFirst="0" w:colLast="0"/>
      <w:bookmarkEnd w:id="73"/>
      <w:r w:rsidRPr="00C72202">
        <w:rPr>
          <w:rFonts w:eastAsia="Arial" w:cs="Arial"/>
          <w:b/>
          <w:szCs w:val="22"/>
        </w:rPr>
        <w:t>Exposé sommaire</w:t>
      </w:r>
    </w:p>
    <w:p w14:paraId="7A7C5164" w14:textId="77777777" w:rsidR="00066E33" w:rsidRDefault="00066E33" w:rsidP="00066E33">
      <w:pPr>
        <w:ind w:left="708"/>
        <w:jc w:val="center"/>
        <w:rPr>
          <w:rFonts w:eastAsia="Arial" w:cs="Arial"/>
          <w:b/>
          <w:szCs w:val="22"/>
          <w:u w:val="single"/>
        </w:rPr>
      </w:pPr>
    </w:p>
    <w:p w14:paraId="0E4B6EB4" w14:textId="77777777" w:rsidR="00066E33" w:rsidRDefault="00066E33" w:rsidP="00066E33">
      <w:pPr>
        <w:jc w:val="both"/>
        <w:rPr>
          <w:rFonts w:eastAsia="Arial" w:cs="Arial"/>
          <w:szCs w:val="22"/>
        </w:rPr>
      </w:pPr>
      <w:bookmarkStart w:id="74" w:name="_heading=h.ca33j4w5a7xq" w:colFirst="0" w:colLast="0"/>
      <w:bookmarkEnd w:id="74"/>
      <w:r>
        <w:rPr>
          <w:rFonts w:eastAsia="Arial" w:cs="Arial"/>
          <w:szCs w:val="22"/>
        </w:rPr>
        <w:t xml:space="preserve">L’article 22 du projet de loi prévoit de décliner la programmation pluriannuelle de l’énergie (PPE) via des objectifs régionaux de développement des énergies renouvelables. Néanmoins, cet article mérite d’être précisé. Aussi le présent amendement prévoit d’étendre la déclinaison non pas uniquement aux objectifs de développement des énergies renouvelables mais de l’ensemble des objectifs de la PPE. </w:t>
      </w:r>
    </w:p>
    <w:p w14:paraId="7EE2AF27" w14:textId="77777777" w:rsidR="00066E33" w:rsidRDefault="00066E33" w:rsidP="00066E33">
      <w:pPr>
        <w:jc w:val="both"/>
        <w:rPr>
          <w:rFonts w:eastAsia="Arial" w:cs="Arial"/>
          <w:szCs w:val="22"/>
        </w:rPr>
      </w:pPr>
    </w:p>
    <w:p w14:paraId="59665B1C" w14:textId="77777777" w:rsidR="00066E33" w:rsidRDefault="00066E33" w:rsidP="00066E33">
      <w:pPr>
        <w:jc w:val="both"/>
        <w:rPr>
          <w:rFonts w:eastAsia="Arial" w:cs="Arial"/>
          <w:szCs w:val="22"/>
        </w:rPr>
      </w:pPr>
      <w:bookmarkStart w:id="75" w:name="_heading=h.kwgyxn5nyknb" w:colFirst="0" w:colLast="0"/>
      <w:bookmarkEnd w:id="75"/>
      <w:r>
        <w:rPr>
          <w:rFonts w:eastAsia="Arial" w:cs="Arial"/>
          <w:szCs w:val="22"/>
        </w:rPr>
        <w:t xml:space="preserve">Si aujourd’hui des dispositifs d’aide au développement des énergies renouvelables électriques existent, ils sont gérés nationalement sans coordination avec les objectifs fixés par les régions. Aussi il convient de les adapter de manière à participer efficacement à la contribution de chaque région à l’effort à fournir pour atteindre ces objectifs, en tenant compte de leurs spécificités. Les aides seront ainsi corrélées aux objectifs régionaux déclinés de la PPE, rendant le dispositif plus efficace et coordonné. </w:t>
      </w:r>
    </w:p>
    <w:p w14:paraId="46C22966" w14:textId="77777777" w:rsidR="00066E33" w:rsidRDefault="00066E33" w:rsidP="00066E33">
      <w:pPr>
        <w:rPr>
          <w:rFonts w:eastAsia="Arial" w:cs="Arial"/>
          <w:szCs w:val="22"/>
        </w:rPr>
      </w:pPr>
      <w:bookmarkStart w:id="76" w:name="_heading=h.it2dtngk5uy2" w:colFirst="0" w:colLast="0"/>
      <w:bookmarkEnd w:id="76"/>
      <w:r>
        <w:rPr>
          <w:rFonts w:eastAsia="Arial" w:cs="Arial"/>
          <w:szCs w:val="22"/>
        </w:rPr>
        <w:tab/>
      </w:r>
      <w:r>
        <w:rPr>
          <w:rFonts w:eastAsia="Arial" w:cs="Arial"/>
          <w:szCs w:val="22"/>
        </w:rPr>
        <w:tab/>
      </w:r>
    </w:p>
    <w:p w14:paraId="21BAFAEF" w14:textId="77777777" w:rsidR="00066E33" w:rsidRDefault="00066E33" w:rsidP="00066E33">
      <w:pPr>
        <w:ind w:left="360"/>
        <w:jc w:val="center"/>
        <w:rPr>
          <w:rFonts w:eastAsia="Arial" w:cs="Arial"/>
          <w:szCs w:val="22"/>
        </w:rPr>
      </w:pPr>
      <w:bookmarkStart w:id="77" w:name="_heading=h.t6boa8ruuis7" w:colFirst="0" w:colLast="0"/>
      <w:bookmarkEnd w:id="77"/>
    </w:p>
    <w:p w14:paraId="1D39643D" w14:textId="77777777" w:rsidR="00066E33" w:rsidRDefault="00066E33" w:rsidP="00066E33">
      <w:pPr>
        <w:ind w:left="360"/>
        <w:jc w:val="center"/>
        <w:rPr>
          <w:rFonts w:eastAsia="Arial" w:cs="Arial"/>
          <w:szCs w:val="22"/>
        </w:rPr>
      </w:pPr>
      <w:bookmarkStart w:id="78" w:name="_heading=h.alw9y0akpsqm" w:colFirst="0" w:colLast="0"/>
      <w:bookmarkEnd w:id="78"/>
      <w:r>
        <w:br w:type="page"/>
      </w:r>
    </w:p>
    <w:p w14:paraId="3DC74197" w14:textId="54E2A3B5" w:rsidR="00066E33" w:rsidRPr="00C72202" w:rsidRDefault="00066E33" w:rsidP="00066E33">
      <w:pPr>
        <w:pStyle w:val="Sansinterligne"/>
        <w:rPr>
          <w:rFonts w:eastAsia="Arial"/>
        </w:rPr>
      </w:pPr>
      <w:bookmarkStart w:id="79" w:name="_Toc65513820"/>
      <w:bookmarkStart w:id="80" w:name="_Toc65685027"/>
      <w:bookmarkStart w:id="81" w:name="_Toc65685669"/>
      <w:bookmarkStart w:id="82" w:name="_Toc65687449"/>
      <w:r w:rsidRPr="00C72202">
        <w:rPr>
          <w:rFonts w:eastAsia="Arial"/>
        </w:rPr>
        <w:lastRenderedPageBreak/>
        <w:t>Amendement n°</w:t>
      </w:r>
      <w:r w:rsidR="00C477A6">
        <w:rPr>
          <w:rFonts w:eastAsia="Arial"/>
        </w:rPr>
        <w:t>1</w:t>
      </w:r>
      <w:r w:rsidR="006B77C2">
        <w:rPr>
          <w:rFonts w:eastAsia="Arial"/>
        </w:rPr>
        <w:t>4</w:t>
      </w:r>
      <w:r w:rsidRPr="00C72202">
        <w:rPr>
          <w:rFonts w:eastAsia="Arial"/>
        </w:rPr>
        <w:t xml:space="preserve"> - Créer un Comité national de concertation et de suivi du projet de réorganisation d’EDF</w:t>
      </w:r>
      <w:bookmarkEnd w:id="79"/>
      <w:bookmarkEnd w:id="80"/>
      <w:bookmarkEnd w:id="81"/>
      <w:bookmarkEnd w:id="82"/>
    </w:p>
    <w:p w14:paraId="202C17FF" w14:textId="77777777" w:rsidR="00066E33" w:rsidRDefault="00066E33" w:rsidP="00066E33">
      <w:pPr>
        <w:rPr>
          <w:rFonts w:eastAsia="Arial" w:cs="Arial"/>
          <w:szCs w:val="22"/>
        </w:rPr>
      </w:pPr>
    </w:p>
    <w:p w14:paraId="56A158D1" w14:textId="77777777" w:rsidR="00066E33" w:rsidRDefault="00066E33" w:rsidP="00066E33">
      <w:pPr>
        <w:jc w:val="center"/>
        <w:rPr>
          <w:rFonts w:eastAsia="Arial" w:cs="Arial"/>
          <w:szCs w:val="22"/>
        </w:rPr>
      </w:pPr>
      <w:r>
        <w:rPr>
          <w:rFonts w:eastAsia="Arial" w:cs="Arial"/>
          <w:szCs w:val="22"/>
        </w:rPr>
        <w:t>Présenté par</w:t>
      </w:r>
    </w:p>
    <w:p w14:paraId="06D93933" w14:textId="77777777" w:rsidR="00066E33" w:rsidRDefault="00066E33" w:rsidP="00066E33">
      <w:pPr>
        <w:jc w:val="center"/>
        <w:rPr>
          <w:rFonts w:eastAsia="Arial" w:cs="Arial"/>
          <w:szCs w:val="22"/>
        </w:rPr>
      </w:pPr>
      <w:r>
        <w:rPr>
          <w:rFonts w:eastAsia="Arial" w:cs="Arial"/>
          <w:szCs w:val="22"/>
        </w:rPr>
        <w:t>……...</w:t>
      </w:r>
    </w:p>
    <w:p w14:paraId="567402E3" w14:textId="77777777" w:rsidR="00066E33" w:rsidRDefault="00066E33" w:rsidP="00066E33">
      <w:pPr>
        <w:rPr>
          <w:rFonts w:eastAsia="Arial" w:cs="Arial"/>
          <w:szCs w:val="22"/>
        </w:rPr>
      </w:pPr>
      <w:r>
        <w:rPr>
          <w:rFonts w:eastAsia="Arial" w:cs="Arial"/>
          <w:szCs w:val="22"/>
        </w:rPr>
        <w:t xml:space="preserve"> </w:t>
      </w:r>
    </w:p>
    <w:p w14:paraId="3B9FA27F" w14:textId="77777777" w:rsidR="00066E33" w:rsidRDefault="00066E33" w:rsidP="00066E33">
      <w:pPr>
        <w:jc w:val="center"/>
        <w:rPr>
          <w:rFonts w:eastAsia="Arial" w:cs="Arial"/>
          <w:szCs w:val="22"/>
        </w:rPr>
      </w:pPr>
      <w:r>
        <w:rPr>
          <w:rFonts w:eastAsia="Arial" w:cs="Arial"/>
          <w:szCs w:val="22"/>
        </w:rPr>
        <w:t xml:space="preserve">Article additionnel </w:t>
      </w:r>
    </w:p>
    <w:p w14:paraId="7629A86B" w14:textId="77777777" w:rsidR="00066E33" w:rsidRDefault="00066E33" w:rsidP="00066E33">
      <w:pPr>
        <w:jc w:val="center"/>
        <w:rPr>
          <w:rFonts w:eastAsia="Arial" w:cs="Arial"/>
          <w:szCs w:val="22"/>
        </w:rPr>
      </w:pPr>
      <w:r>
        <w:rPr>
          <w:rFonts w:eastAsia="Arial" w:cs="Arial"/>
          <w:szCs w:val="22"/>
        </w:rPr>
        <w:t xml:space="preserve">Après l’article 22, insérer un article supplémentaire ainsi rédigé : </w:t>
      </w:r>
    </w:p>
    <w:p w14:paraId="372EF93F" w14:textId="77777777" w:rsidR="00066E33" w:rsidRDefault="00066E33" w:rsidP="00066E33">
      <w:pPr>
        <w:jc w:val="center"/>
        <w:rPr>
          <w:rFonts w:eastAsia="Arial" w:cs="Arial"/>
          <w:szCs w:val="22"/>
        </w:rPr>
      </w:pPr>
    </w:p>
    <w:p w14:paraId="201CC0C7" w14:textId="77777777" w:rsidR="00066E33" w:rsidRDefault="00066E33" w:rsidP="00066E33">
      <w:pPr>
        <w:jc w:val="both"/>
        <w:rPr>
          <w:rFonts w:eastAsia="Arial" w:cs="Arial"/>
          <w:szCs w:val="22"/>
        </w:rPr>
      </w:pPr>
    </w:p>
    <w:p w14:paraId="0A1C526F" w14:textId="77777777" w:rsidR="00066E33" w:rsidRDefault="00066E33" w:rsidP="00066E33">
      <w:pPr>
        <w:jc w:val="both"/>
        <w:rPr>
          <w:rFonts w:eastAsia="Arial" w:cs="Arial"/>
          <w:szCs w:val="22"/>
        </w:rPr>
      </w:pPr>
      <w:r>
        <w:rPr>
          <w:rFonts w:eastAsia="Arial" w:cs="Arial"/>
          <w:szCs w:val="22"/>
        </w:rPr>
        <w:t>Au plus tard le 1er janvier 2022, le Ministère de l’Économie, des Finances et de la Relance et le Ministère de la Transition écologique mettent en place un Comité national de concertation et de suivi du projet de réorganisation d’EDF baptisé “Hercule” qui rassemble l’ensemble parties prenantes impliquées ou concernées par ce projet.</w:t>
      </w:r>
    </w:p>
    <w:p w14:paraId="7B933261" w14:textId="77777777" w:rsidR="00066E33" w:rsidRDefault="00066E33" w:rsidP="00066E33">
      <w:pPr>
        <w:jc w:val="both"/>
        <w:rPr>
          <w:rFonts w:eastAsia="Arial" w:cs="Arial"/>
          <w:szCs w:val="22"/>
        </w:rPr>
      </w:pPr>
    </w:p>
    <w:p w14:paraId="5900AD12" w14:textId="77777777" w:rsidR="00066E33" w:rsidRDefault="00066E33" w:rsidP="00066E33">
      <w:pPr>
        <w:jc w:val="both"/>
        <w:rPr>
          <w:rFonts w:eastAsia="Arial" w:cs="Arial"/>
          <w:szCs w:val="22"/>
        </w:rPr>
      </w:pPr>
      <w:r>
        <w:rPr>
          <w:rFonts w:eastAsia="Arial" w:cs="Arial"/>
          <w:szCs w:val="22"/>
        </w:rPr>
        <w:t>Ce Comité national est structuré autour 7 collèges représentant les parlementaires, le Conseil d’État, les ministères, les collectivités autorités organisatrices de la distribution d’électricité, les consommateurs, EDF, les organisations syndicales d’EDF.</w:t>
      </w:r>
    </w:p>
    <w:p w14:paraId="09FC72DE" w14:textId="77777777" w:rsidR="00066E33" w:rsidRDefault="00066E33" w:rsidP="00066E33">
      <w:pPr>
        <w:jc w:val="both"/>
        <w:rPr>
          <w:rFonts w:eastAsia="Arial" w:cs="Arial"/>
          <w:szCs w:val="22"/>
        </w:rPr>
      </w:pPr>
    </w:p>
    <w:p w14:paraId="34CF74A2" w14:textId="77777777" w:rsidR="00066E33" w:rsidRDefault="00066E33" w:rsidP="00066E33">
      <w:pPr>
        <w:jc w:val="both"/>
        <w:rPr>
          <w:rFonts w:eastAsia="Arial" w:cs="Arial"/>
          <w:szCs w:val="22"/>
        </w:rPr>
      </w:pPr>
      <w:r>
        <w:rPr>
          <w:rFonts w:eastAsia="Arial" w:cs="Arial"/>
          <w:szCs w:val="22"/>
        </w:rPr>
        <w:t>Les missions de ce Comité national sont précisées par décret. Ses membres sont nommés par arrêté ministériel.</w:t>
      </w:r>
    </w:p>
    <w:p w14:paraId="15BA375B" w14:textId="77777777" w:rsidR="00066E33" w:rsidRDefault="00066E33" w:rsidP="00066E33">
      <w:pPr>
        <w:jc w:val="both"/>
        <w:rPr>
          <w:rFonts w:eastAsia="Arial" w:cs="Arial"/>
          <w:szCs w:val="22"/>
        </w:rPr>
      </w:pPr>
    </w:p>
    <w:p w14:paraId="23EA62FF" w14:textId="77777777" w:rsidR="00066E33" w:rsidRDefault="00066E33" w:rsidP="00066E33">
      <w:pPr>
        <w:jc w:val="center"/>
        <w:rPr>
          <w:rFonts w:eastAsia="Arial" w:cs="Arial"/>
          <w:b/>
          <w:szCs w:val="22"/>
        </w:rPr>
      </w:pPr>
      <w:r>
        <w:rPr>
          <w:rFonts w:eastAsia="Arial" w:cs="Arial"/>
          <w:b/>
          <w:szCs w:val="22"/>
        </w:rPr>
        <w:t>Exposé sommaire</w:t>
      </w:r>
    </w:p>
    <w:p w14:paraId="71E4884E" w14:textId="77777777" w:rsidR="00066E33" w:rsidRDefault="00066E33" w:rsidP="00066E33">
      <w:pPr>
        <w:jc w:val="both"/>
        <w:rPr>
          <w:rFonts w:eastAsia="Arial" w:cs="Arial"/>
          <w:szCs w:val="22"/>
        </w:rPr>
      </w:pPr>
      <w:r>
        <w:rPr>
          <w:rFonts w:eastAsia="Arial" w:cs="Arial"/>
          <w:szCs w:val="22"/>
        </w:rPr>
        <w:t xml:space="preserve"> </w:t>
      </w:r>
    </w:p>
    <w:p w14:paraId="674E16F6" w14:textId="77777777" w:rsidR="00066E33" w:rsidRDefault="00066E33" w:rsidP="00066E33">
      <w:pPr>
        <w:jc w:val="both"/>
        <w:rPr>
          <w:rFonts w:eastAsia="Arial" w:cs="Arial"/>
          <w:szCs w:val="22"/>
        </w:rPr>
      </w:pPr>
      <w:r>
        <w:rPr>
          <w:rFonts w:eastAsia="Arial" w:cs="Arial"/>
          <w:szCs w:val="22"/>
        </w:rPr>
        <w:t>Le projet de réorganisation d’EDF baptisé “Hercule” ambitionne de réformer en profondeur l’organisation du Groupe Français, ses logiques financières ainsi que la gestion de la distribution d’électricité en France.</w:t>
      </w:r>
    </w:p>
    <w:p w14:paraId="39D3DAAC" w14:textId="77777777" w:rsidR="00066E33" w:rsidRDefault="00066E33" w:rsidP="00066E33">
      <w:pPr>
        <w:jc w:val="both"/>
        <w:rPr>
          <w:rFonts w:eastAsia="Arial" w:cs="Arial"/>
          <w:szCs w:val="22"/>
        </w:rPr>
      </w:pPr>
    </w:p>
    <w:p w14:paraId="0F78C344" w14:textId="77777777" w:rsidR="00066E33" w:rsidRDefault="00066E33" w:rsidP="00066E33">
      <w:pPr>
        <w:jc w:val="both"/>
        <w:rPr>
          <w:rFonts w:eastAsia="Arial" w:cs="Arial"/>
          <w:szCs w:val="22"/>
        </w:rPr>
      </w:pPr>
      <w:r>
        <w:rPr>
          <w:rFonts w:eastAsia="Arial" w:cs="Arial"/>
          <w:szCs w:val="22"/>
        </w:rPr>
        <w:t>La scission de l’énergéticien en trois branches distinctes - “EDF bleu” chapotant les centrales nucléaires, “EDF azur” dédiée aux barrages et centrales hydroélectriques et “EDF vert” réunissant les activités de distribution d’électricité et les énergies renouvelables - fait actuellement l’objet de négociations entre l’État et la Commission européenne.</w:t>
      </w:r>
    </w:p>
    <w:p w14:paraId="26E7C5D2" w14:textId="77777777" w:rsidR="00066E33" w:rsidRDefault="00066E33" w:rsidP="00066E33">
      <w:pPr>
        <w:jc w:val="both"/>
        <w:rPr>
          <w:rFonts w:eastAsia="Arial" w:cs="Arial"/>
          <w:szCs w:val="22"/>
        </w:rPr>
      </w:pPr>
    </w:p>
    <w:p w14:paraId="249CD305" w14:textId="77777777" w:rsidR="00066E33" w:rsidRDefault="00066E33" w:rsidP="00066E33">
      <w:pPr>
        <w:jc w:val="both"/>
        <w:rPr>
          <w:rFonts w:eastAsia="Arial" w:cs="Arial"/>
          <w:szCs w:val="22"/>
        </w:rPr>
      </w:pPr>
      <w:r>
        <w:rPr>
          <w:rFonts w:eastAsia="Arial" w:cs="Arial"/>
          <w:szCs w:val="22"/>
        </w:rPr>
        <w:t>Bien que les collectivités territoriales, en tant qu’autorités organisatrices de la distribution d’électricité ainsi que les usagers de ce service public soient concernées au premier chef par ce projet de restructuration, il n’a à l’heure actuelle fait l’objet d’aucune concertation avec leurs représentants.</w:t>
      </w:r>
    </w:p>
    <w:p w14:paraId="2F583677" w14:textId="77777777" w:rsidR="00066E33" w:rsidRDefault="00066E33" w:rsidP="00066E33">
      <w:pPr>
        <w:jc w:val="both"/>
        <w:rPr>
          <w:rFonts w:eastAsia="Arial" w:cs="Arial"/>
          <w:szCs w:val="22"/>
        </w:rPr>
      </w:pPr>
    </w:p>
    <w:p w14:paraId="662E504A" w14:textId="77777777" w:rsidR="00066E33" w:rsidRDefault="00066E33" w:rsidP="00066E33">
      <w:pPr>
        <w:jc w:val="both"/>
        <w:rPr>
          <w:rFonts w:eastAsia="Arial" w:cs="Arial"/>
          <w:szCs w:val="22"/>
        </w:rPr>
      </w:pPr>
      <w:r>
        <w:rPr>
          <w:rFonts w:eastAsia="Arial" w:cs="Arial"/>
          <w:szCs w:val="22"/>
        </w:rPr>
        <w:t>Cet amendement propose donc de créer un Comité national de concertation et de suivi impliquant l’ensemble des parties concernées par ce projet de restructuration afin qu’elles puissent être informées des axes de négociation entre l’État et la Commission européenne mais également pour qu’elles soient consultées sur les arbitrages actuels et à venir.</w:t>
      </w:r>
    </w:p>
    <w:p w14:paraId="19CB17A7" w14:textId="77777777" w:rsidR="00066E33" w:rsidRDefault="00066E33" w:rsidP="00066E33">
      <w:pPr>
        <w:ind w:left="360"/>
        <w:jc w:val="center"/>
        <w:rPr>
          <w:rFonts w:eastAsia="Arial" w:cs="Arial"/>
          <w:szCs w:val="22"/>
        </w:rPr>
      </w:pPr>
      <w:bookmarkStart w:id="83" w:name="_heading=h.g32tuh8okfhy" w:colFirst="0" w:colLast="0"/>
      <w:bookmarkEnd w:id="83"/>
    </w:p>
    <w:p w14:paraId="1F57234F" w14:textId="77777777" w:rsidR="00066E33" w:rsidRDefault="00066E33" w:rsidP="00066E33">
      <w:pPr>
        <w:ind w:left="360"/>
        <w:jc w:val="center"/>
        <w:rPr>
          <w:rFonts w:eastAsia="Arial" w:cs="Arial"/>
          <w:szCs w:val="22"/>
        </w:rPr>
      </w:pPr>
      <w:bookmarkStart w:id="84" w:name="_heading=h.9wfz8ieu85od" w:colFirst="0" w:colLast="0"/>
      <w:bookmarkEnd w:id="84"/>
      <w:r>
        <w:br w:type="page"/>
      </w:r>
    </w:p>
    <w:p w14:paraId="6CF245AB" w14:textId="7FD92701" w:rsidR="00066E33" w:rsidRPr="00C72202" w:rsidRDefault="00066E33" w:rsidP="00066E33">
      <w:pPr>
        <w:pStyle w:val="Sansinterligne"/>
        <w:rPr>
          <w:rFonts w:eastAsia="Arial"/>
        </w:rPr>
      </w:pPr>
      <w:bookmarkStart w:id="85" w:name="_heading=h.e9t1wmln573b" w:colFirst="0" w:colLast="0"/>
      <w:bookmarkStart w:id="86" w:name="_Toc65513821"/>
      <w:bookmarkStart w:id="87" w:name="_Toc65685028"/>
      <w:bookmarkStart w:id="88" w:name="_Toc65685670"/>
      <w:bookmarkStart w:id="89" w:name="_Toc65687450"/>
      <w:bookmarkEnd w:id="85"/>
      <w:r>
        <w:rPr>
          <w:rFonts w:eastAsia="Arial"/>
        </w:rPr>
        <w:lastRenderedPageBreak/>
        <w:t>Amendement n°</w:t>
      </w:r>
      <w:r w:rsidR="00C477A6">
        <w:rPr>
          <w:rFonts w:eastAsia="Arial"/>
        </w:rPr>
        <w:t>1</w:t>
      </w:r>
      <w:bookmarkStart w:id="90" w:name="_heading=h.fbz6jxdtkbnt" w:colFirst="0" w:colLast="0"/>
      <w:bookmarkStart w:id="91" w:name="_heading=h.gj4t8acu2wz8" w:colFirst="0" w:colLast="0"/>
      <w:bookmarkEnd w:id="90"/>
      <w:bookmarkEnd w:id="91"/>
      <w:r w:rsidR="006B77C2">
        <w:rPr>
          <w:rFonts w:eastAsia="Arial"/>
        </w:rPr>
        <w:t>5</w:t>
      </w:r>
      <w:r>
        <w:rPr>
          <w:rFonts w:eastAsia="Arial"/>
        </w:rPr>
        <w:t xml:space="preserve"> - Financer la mise en place de conventions locales de transition énergétique dans la distribution d’électricité et de gaz</w:t>
      </w:r>
      <w:bookmarkEnd w:id="86"/>
      <w:bookmarkEnd w:id="87"/>
      <w:bookmarkEnd w:id="88"/>
      <w:bookmarkEnd w:id="89"/>
    </w:p>
    <w:p w14:paraId="2567A543" w14:textId="77777777" w:rsidR="00066E33" w:rsidRDefault="00066E33" w:rsidP="00066E33">
      <w:pPr>
        <w:ind w:left="360"/>
        <w:jc w:val="center"/>
        <w:rPr>
          <w:rFonts w:eastAsia="Arial" w:cs="Arial"/>
          <w:b/>
          <w:sz w:val="21"/>
          <w:szCs w:val="21"/>
        </w:rPr>
      </w:pPr>
    </w:p>
    <w:p w14:paraId="143BC3CC" w14:textId="77777777" w:rsidR="00066E33" w:rsidRDefault="00066E33" w:rsidP="00066E33">
      <w:pPr>
        <w:jc w:val="center"/>
        <w:rPr>
          <w:rFonts w:eastAsia="Arial" w:cs="Arial"/>
          <w:szCs w:val="22"/>
        </w:rPr>
      </w:pPr>
      <w:r>
        <w:rPr>
          <w:rFonts w:eastAsia="Arial" w:cs="Arial"/>
          <w:szCs w:val="22"/>
        </w:rPr>
        <w:t>Présenté par</w:t>
      </w:r>
    </w:p>
    <w:p w14:paraId="53D33563" w14:textId="77777777" w:rsidR="00066E33" w:rsidRDefault="00066E33" w:rsidP="00066E33">
      <w:pPr>
        <w:jc w:val="center"/>
        <w:rPr>
          <w:rFonts w:eastAsia="Arial" w:cs="Arial"/>
          <w:szCs w:val="22"/>
        </w:rPr>
      </w:pPr>
      <w:r>
        <w:rPr>
          <w:rFonts w:eastAsia="Arial" w:cs="Arial"/>
          <w:szCs w:val="22"/>
        </w:rPr>
        <w:t>……...</w:t>
      </w:r>
    </w:p>
    <w:p w14:paraId="68B3ED5B" w14:textId="77777777" w:rsidR="00066E33" w:rsidRDefault="00066E33" w:rsidP="00066E33">
      <w:pPr>
        <w:rPr>
          <w:rFonts w:eastAsia="Arial" w:cs="Arial"/>
          <w:szCs w:val="22"/>
        </w:rPr>
      </w:pPr>
      <w:r>
        <w:rPr>
          <w:rFonts w:eastAsia="Arial" w:cs="Arial"/>
          <w:szCs w:val="22"/>
        </w:rPr>
        <w:t xml:space="preserve"> </w:t>
      </w:r>
    </w:p>
    <w:p w14:paraId="59A5A675" w14:textId="77777777" w:rsidR="00066E33" w:rsidRDefault="00066E33" w:rsidP="00066E33">
      <w:pPr>
        <w:jc w:val="center"/>
        <w:rPr>
          <w:rFonts w:eastAsia="Arial" w:cs="Arial"/>
          <w:szCs w:val="22"/>
        </w:rPr>
      </w:pPr>
      <w:r>
        <w:rPr>
          <w:rFonts w:eastAsia="Arial" w:cs="Arial"/>
          <w:szCs w:val="22"/>
        </w:rPr>
        <w:t xml:space="preserve">Article additionnel </w:t>
      </w:r>
    </w:p>
    <w:p w14:paraId="42EFADA5" w14:textId="77777777" w:rsidR="00066E33" w:rsidRDefault="00066E33" w:rsidP="00066E33">
      <w:pPr>
        <w:jc w:val="center"/>
        <w:rPr>
          <w:rFonts w:eastAsia="Arial" w:cs="Arial"/>
          <w:szCs w:val="22"/>
        </w:rPr>
      </w:pPr>
      <w:r>
        <w:rPr>
          <w:rFonts w:eastAsia="Arial" w:cs="Arial"/>
          <w:szCs w:val="22"/>
        </w:rPr>
        <w:t>Après l’article 22, insérer un article supplémentaire ainsi rédigé :</w:t>
      </w:r>
    </w:p>
    <w:p w14:paraId="7FE5764B" w14:textId="77777777" w:rsidR="00066E33" w:rsidRDefault="00066E33" w:rsidP="00066E33">
      <w:pPr>
        <w:jc w:val="center"/>
        <w:rPr>
          <w:rFonts w:eastAsia="Arial" w:cs="Arial"/>
          <w:szCs w:val="22"/>
        </w:rPr>
      </w:pPr>
    </w:p>
    <w:p w14:paraId="20F815E8" w14:textId="77777777" w:rsidR="00066E33" w:rsidRDefault="00066E33" w:rsidP="00066E33">
      <w:pPr>
        <w:rPr>
          <w:rFonts w:eastAsia="Arial" w:cs="Arial"/>
          <w:b/>
          <w:sz w:val="20"/>
          <w:szCs w:val="20"/>
          <w:u w:val="single"/>
        </w:rPr>
      </w:pPr>
      <w:bookmarkStart w:id="92" w:name="_heading=h.mt8izvf04j5h" w:colFirst="0" w:colLast="0"/>
      <w:bookmarkEnd w:id="92"/>
    </w:p>
    <w:p w14:paraId="686D2618" w14:textId="77777777" w:rsidR="00066E33" w:rsidRDefault="00066E33" w:rsidP="00066E33">
      <w:pPr>
        <w:jc w:val="both"/>
        <w:rPr>
          <w:rFonts w:eastAsia="Arial" w:cs="Arial"/>
          <w:szCs w:val="22"/>
        </w:rPr>
      </w:pPr>
      <w:r>
        <w:rPr>
          <w:rFonts w:eastAsia="Arial" w:cs="Arial"/>
          <w:szCs w:val="22"/>
        </w:rPr>
        <w:t>I.  Les 8° des articles L. 322-8 et L. 432-8 du code de l’énergie sont remplacés dans chacun de ces articles par un 8° rédigé comme suit :</w:t>
      </w:r>
    </w:p>
    <w:p w14:paraId="3E5B4521" w14:textId="77777777" w:rsidR="00066E33" w:rsidRDefault="00066E33" w:rsidP="00066E33">
      <w:pPr>
        <w:jc w:val="both"/>
        <w:rPr>
          <w:rFonts w:eastAsia="Arial" w:cs="Arial"/>
          <w:szCs w:val="22"/>
        </w:rPr>
      </w:pPr>
      <w:bookmarkStart w:id="93" w:name="_heading=h.5ntkgzayqiwn" w:colFirst="0" w:colLast="0"/>
      <w:bookmarkEnd w:id="93"/>
    </w:p>
    <w:p w14:paraId="4E77D7BB" w14:textId="77777777" w:rsidR="00066E33" w:rsidRDefault="00066E33" w:rsidP="00066E33">
      <w:pPr>
        <w:jc w:val="both"/>
        <w:rPr>
          <w:rFonts w:eastAsia="Arial" w:cs="Arial"/>
          <w:szCs w:val="22"/>
        </w:rPr>
      </w:pPr>
      <w:r>
        <w:rPr>
          <w:rFonts w:eastAsia="Arial" w:cs="Arial"/>
          <w:szCs w:val="22"/>
        </w:rPr>
        <w:t>« 8° de mettre en œuvre, en étroite collaboration avec les collectivités organisatrices de la distribution d’énergie et celles compétentes pour l’élaboration et la mise en œuvre d’un plan climat air énergie territorial, des actions en faveur de la transition énergétique portant notamment sur la maîtrise des consommations en énergie, la rénovation énergétique des bâtiments, la lutte contre la précarité énergétique, l’efficacité énergétique et le développement des énergies renouvelables ».</w:t>
      </w:r>
    </w:p>
    <w:p w14:paraId="669C0B7B" w14:textId="77777777" w:rsidR="00066E33" w:rsidRDefault="00066E33" w:rsidP="00066E33">
      <w:pPr>
        <w:jc w:val="both"/>
        <w:rPr>
          <w:rFonts w:eastAsia="Arial" w:cs="Arial"/>
          <w:szCs w:val="22"/>
        </w:rPr>
      </w:pPr>
      <w:bookmarkStart w:id="94" w:name="_heading=h.jnfq978kyudi" w:colFirst="0" w:colLast="0"/>
      <w:bookmarkEnd w:id="94"/>
    </w:p>
    <w:p w14:paraId="0B7152C4" w14:textId="77777777" w:rsidR="00066E33" w:rsidRDefault="00066E33" w:rsidP="00066E33">
      <w:pPr>
        <w:jc w:val="both"/>
        <w:rPr>
          <w:rFonts w:eastAsia="Arial" w:cs="Arial"/>
          <w:szCs w:val="22"/>
        </w:rPr>
      </w:pPr>
      <w:r>
        <w:rPr>
          <w:rFonts w:eastAsia="Arial" w:cs="Arial"/>
          <w:szCs w:val="22"/>
        </w:rPr>
        <w:t xml:space="preserve">II. Au 1° de l’article L. 341-2 du code de l’énergie, après les mots “mis à leur charge”, il est ajouté “ainsi que le coût lié au financement des actions menées au titre du 8° de l’article L.322-8 du Code de l’énergie définies dans les cahiers des charges de concession mentionnés au I de l’article L. 2224-31 du code général des collectivités territoriales ou dans des conventions établies entre l’autorité </w:t>
      </w:r>
      <w:proofErr w:type="spellStart"/>
      <w:r>
        <w:rPr>
          <w:rFonts w:eastAsia="Arial" w:cs="Arial"/>
          <w:szCs w:val="22"/>
        </w:rPr>
        <w:t>concédante</w:t>
      </w:r>
      <w:proofErr w:type="spellEnd"/>
      <w:r>
        <w:rPr>
          <w:rFonts w:eastAsia="Arial" w:cs="Arial"/>
          <w:szCs w:val="22"/>
        </w:rPr>
        <w:t xml:space="preserve"> et le gestionnaire de réseau”.</w:t>
      </w:r>
    </w:p>
    <w:p w14:paraId="1580DDF5" w14:textId="77777777" w:rsidR="00066E33" w:rsidRDefault="00066E33" w:rsidP="00066E33">
      <w:pPr>
        <w:jc w:val="both"/>
        <w:rPr>
          <w:rFonts w:eastAsia="Arial" w:cs="Arial"/>
          <w:szCs w:val="22"/>
        </w:rPr>
      </w:pPr>
      <w:bookmarkStart w:id="95" w:name="_heading=h.m84ulcxi036g" w:colFirst="0" w:colLast="0"/>
      <w:bookmarkEnd w:id="95"/>
    </w:p>
    <w:p w14:paraId="0BCFAEB0" w14:textId="77777777" w:rsidR="00066E33" w:rsidRDefault="00066E33" w:rsidP="00066E33">
      <w:pPr>
        <w:jc w:val="both"/>
        <w:rPr>
          <w:rFonts w:eastAsia="Arial" w:cs="Arial"/>
          <w:szCs w:val="22"/>
        </w:rPr>
      </w:pPr>
      <w:r>
        <w:rPr>
          <w:rFonts w:eastAsia="Arial" w:cs="Arial"/>
          <w:szCs w:val="22"/>
        </w:rPr>
        <w:t>III. Au premier alinéa de l’article L.452-1-1 du code de l’énergie, après les mots “au I de l'article</w:t>
      </w:r>
      <w:hyperlink r:id="rId10">
        <w:r>
          <w:rPr>
            <w:rFonts w:eastAsia="Arial" w:cs="Arial"/>
            <w:szCs w:val="22"/>
          </w:rPr>
          <w:t xml:space="preserve"> </w:t>
        </w:r>
      </w:hyperlink>
      <w:hyperlink r:id="rId11">
        <w:r>
          <w:rPr>
            <w:rFonts w:eastAsia="Arial" w:cs="Arial"/>
            <w:color w:val="1155CC"/>
            <w:szCs w:val="22"/>
            <w:u w:val="single"/>
          </w:rPr>
          <w:t>L. 121-46</w:t>
        </w:r>
      </w:hyperlink>
      <w:r>
        <w:rPr>
          <w:rFonts w:eastAsia="Arial" w:cs="Arial"/>
          <w:szCs w:val="22"/>
        </w:rPr>
        <w:t xml:space="preserve">”, il est ajouté “ainsi que le coût lié au financement des actions menées au titre du 8° de l’article L.432-8 du code de l’énergie définies dans les cahiers des charges de concession mentionnés au I de l’article L. 2224-31 du code général des collectivités territoriales ou dans des conventions établies entre l’autorité </w:t>
      </w:r>
      <w:proofErr w:type="spellStart"/>
      <w:r>
        <w:rPr>
          <w:rFonts w:eastAsia="Arial" w:cs="Arial"/>
          <w:szCs w:val="22"/>
        </w:rPr>
        <w:t>concédante</w:t>
      </w:r>
      <w:proofErr w:type="spellEnd"/>
      <w:r>
        <w:rPr>
          <w:rFonts w:eastAsia="Arial" w:cs="Arial"/>
          <w:szCs w:val="22"/>
        </w:rPr>
        <w:t xml:space="preserve"> et le gestionnaire de réseau.</w:t>
      </w:r>
    </w:p>
    <w:p w14:paraId="396D4FA2" w14:textId="77777777" w:rsidR="00066E33" w:rsidRDefault="00066E33" w:rsidP="00066E33">
      <w:pPr>
        <w:jc w:val="both"/>
        <w:rPr>
          <w:rFonts w:eastAsia="Arial" w:cs="Arial"/>
          <w:szCs w:val="22"/>
        </w:rPr>
      </w:pPr>
      <w:bookmarkStart w:id="96" w:name="_heading=h.7i46k5nanv96" w:colFirst="0" w:colLast="0"/>
      <w:bookmarkEnd w:id="96"/>
    </w:p>
    <w:p w14:paraId="3194CE72" w14:textId="77777777" w:rsidR="00066E33" w:rsidRPr="00C72202" w:rsidRDefault="00066E33" w:rsidP="00066E33">
      <w:pPr>
        <w:jc w:val="center"/>
        <w:rPr>
          <w:rFonts w:eastAsia="Arial" w:cs="Arial"/>
          <w:b/>
          <w:szCs w:val="22"/>
        </w:rPr>
      </w:pPr>
      <w:r w:rsidRPr="00C72202">
        <w:rPr>
          <w:rFonts w:eastAsia="Arial" w:cs="Arial"/>
          <w:b/>
          <w:szCs w:val="22"/>
        </w:rPr>
        <w:t>Exposé sommaire</w:t>
      </w:r>
    </w:p>
    <w:p w14:paraId="34C0C807" w14:textId="77777777" w:rsidR="00066E33" w:rsidRDefault="00066E33" w:rsidP="00066E33">
      <w:pPr>
        <w:jc w:val="center"/>
        <w:rPr>
          <w:rFonts w:eastAsia="Arial" w:cs="Arial"/>
          <w:b/>
          <w:szCs w:val="22"/>
          <w:u w:val="single"/>
        </w:rPr>
      </w:pPr>
      <w:bookmarkStart w:id="97" w:name="_heading=h.aqefnefpf75g" w:colFirst="0" w:colLast="0"/>
      <w:bookmarkEnd w:id="97"/>
    </w:p>
    <w:p w14:paraId="62C67B80" w14:textId="77777777" w:rsidR="00066E33" w:rsidRDefault="00066E33" w:rsidP="00066E33">
      <w:pPr>
        <w:jc w:val="both"/>
        <w:rPr>
          <w:rFonts w:eastAsia="Arial" w:cs="Arial"/>
          <w:szCs w:val="22"/>
        </w:rPr>
      </w:pPr>
      <w:r>
        <w:rPr>
          <w:rFonts w:eastAsia="Arial" w:cs="Arial"/>
          <w:szCs w:val="22"/>
        </w:rPr>
        <w:t>La loi de transition énergétique pour la croissance verte a élargi les missions des gestionnaires de réseaux de distribution (GRD) d’électricité et de gaz pour y intégrer leur nécessaire participation à la transition énergétique. Les différents tarifs d’acheminement doivent prendre en compte cette évolution afin de donner les moyens aux GRD d’agir sur le territoire en faveur de la transition énergétique.</w:t>
      </w:r>
    </w:p>
    <w:p w14:paraId="737CB7DC" w14:textId="77777777" w:rsidR="00066E33" w:rsidRDefault="00066E33" w:rsidP="00066E33">
      <w:pPr>
        <w:jc w:val="both"/>
        <w:rPr>
          <w:rFonts w:eastAsia="Arial" w:cs="Arial"/>
          <w:szCs w:val="22"/>
        </w:rPr>
      </w:pPr>
      <w:bookmarkStart w:id="98" w:name="_heading=h.lsikld3bhkpd" w:colFirst="0" w:colLast="0"/>
      <w:bookmarkEnd w:id="98"/>
    </w:p>
    <w:p w14:paraId="12A67560" w14:textId="77777777" w:rsidR="00066E33" w:rsidRDefault="00066E33" w:rsidP="00066E33">
      <w:pPr>
        <w:jc w:val="both"/>
        <w:rPr>
          <w:rFonts w:eastAsia="Arial" w:cs="Arial"/>
          <w:szCs w:val="22"/>
        </w:rPr>
      </w:pPr>
      <w:r>
        <w:rPr>
          <w:rFonts w:eastAsia="Arial" w:cs="Arial"/>
          <w:szCs w:val="22"/>
        </w:rPr>
        <w:t>Il est donc nécessaire de préciser l’étendue des missions de ces gestionnaires de réseaux de distribution, afin qu’ils puissent mettre en œuvre sur l’ensemble du territoire, en tenant compte de la politique nationale et locale, leurs compétences au service de la transition énergétique.</w:t>
      </w:r>
    </w:p>
    <w:p w14:paraId="16F1A07F" w14:textId="77777777" w:rsidR="00066E33" w:rsidRDefault="00066E33" w:rsidP="00066E33">
      <w:pPr>
        <w:jc w:val="both"/>
        <w:rPr>
          <w:rFonts w:eastAsia="Arial" w:cs="Arial"/>
          <w:szCs w:val="22"/>
        </w:rPr>
      </w:pPr>
      <w:bookmarkStart w:id="99" w:name="_heading=h.kic3sbeou9kr" w:colFirst="0" w:colLast="0"/>
      <w:bookmarkEnd w:id="99"/>
    </w:p>
    <w:p w14:paraId="4EA6D997" w14:textId="77777777" w:rsidR="00066E33" w:rsidRDefault="00066E33" w:rsidP="00066E33">
      <w:pPr>
        <w:jc w:val="both"/>
        <w:rPr>
          <w:rFonts w:eastAsia="Arial" w:cs="Arial"/>
          <w:szCs w:val="22"/>
        </w:rPr>
      </w:pPr>
      <w:r>
        <w:rPr>
          <w:rFonts w:eastAsia="Arial" w:cs="Arial"/>
          <w:szCs w:val="22"/>
        </w:rPr>
        <w:t>Le modèle national et solidaire de la distribution d’énergie doit permettre la contribution des entreprises en monopole aux objectifs de transition énergétique. Il doit également laisser une place à l’adaptation aux réalités locales.</w:t>
      </w:r>
    </w:p>
    <w:p w14:paraId="71F64B32" w14:textId="77777777" w:rsidR="00066E33" w:rsidRDefault="00066E33" w:rsidP="00066E33">
      <w:pPr>
        <w:jc w:val="both"/>
        <w:rPr>
          <w:rFonts w:eastAsia="Arial" w:cs="Arial"/>
          <w:szCs w:val="22"/>
        </w:rPr>
      </w:pPr>
      <w:bookmarkStart w:id="100" w:name="_heading=h.le3u2lshyvc0" w:colFirst="0" w:colLast="0"/>
      <w:bookmarkEnd w:id="100"/>
    </w:p>
    <w:p w14:paraId="10AFB919" w14:textId="77777777" w:rsidR="00066E33" w:rsidRDefault="00066E33" w:rsidP="00066E33">
      <w:pPr>
        <w:jc w:val="both"/>
        <w:rPr>
          <w:rFonts w:eastAsia="Arial" w:cs="Arial"/>
          <w:szCs w:val="22"/>
        </w:rPr>
      </w:pPr>
      <w:r>
        <w:rPr>
          <w:rFonts w:eastAsia="Arial" w:cs="Arial"/>
          <w:szCs w:val="22"/>
        </w:rPr>
        <w:t>Les coûts pris en compte par les tarifs d’acheminement doivent dès lors nécessairement intégrer le financement de ces missions, le cas échéant précisées localement dans les contrats de concession, bénéfiques à l’ensemble du territoire.</w:t>
      </w:r>
    </w:p>
    <w:p w14:paraId="405CB858" w14:textId="77777777" w:rsidR="00066E33" w:rsidRDefault="00066E33" w:rsidP="00066E33">
      <w:pPr>
        <w:jc w:val="both"/>
        <w:rPr>
          <w:rFonts w:eastAsia="Arial" w:cs="Arial"/>
          <w:szCs w:val="22"/>
        </w:rPr>
      </w:pPr>
      <w:bookmarkStart w:id="101" w:name="_heading=h.ur4jox90ofy2" w:colFirst="0" w:colLast="0"/>
      <w:bookmarkEnd w:id="101"/>
    </w:p>
    <w:p w14:paraId="4018CDA7" w14:textId="77777777" w:rsidR="00066E33" w:rsidRDefault="00066E33" w:rsidP="00066E33">
      <w:pPr>
        <w:jc w:val="both"/>
        <w:rPr>
          <w:rFonts w:eastAsia="Arial" w:cs="Arial"/>
          <w:szCs w:val="22"/>
        </w:rPr>
      </w:pPr>
      <w:bookmarkStart w:id="102" w:name="_heading=h.s0jsnnjliboa" w:colFirst="0" w:colLast="0"/>
      <w:bookmarkEnd w:id="102"/>
    </w:p>
    <w:p w14:paraId="129656AA" w14:textId="77777777" w:rsidR="00066E33" w:rsidRDefault="00066E33" w:rsidP="00066E33">
      <w:pPr>
        <w:jc w:val="center"/>
        <w:rPr>
          <w:rFonts w:eastAsia="Arial" w:cs="Arial"/>
          <w:szCs w:val="22"/>
        </w:rPr>
      </w:pPr>
      <w:bookmarkStart w:id="103" w:name="_heading=h.lcd5pyknst4t" w:colFirst="0" w:colLast="0"/>
      <w:bookmarkEnd w:id="103"/>
    </w:p>
    <w:p w14:paraId="2C8766D0" w14:textId="77777777" w:rsidR="00066E33" w:rsidRDefault="00066E33" w:rsidP="00066E33">
      <w:pPr>
        <w:jc w:val="center"/>
        <w:rPr>
          <w:rFonts w:eastAsia="Arial" w:cs="Arial"/>
          <w:szCs w:val="22"/>
        </w:rPr>
      </w:pPr>
    </w:p>
    <w:p w14:paraId="61801619" w14:textId="77777777" w:rsidR="00066E33" w:rsidRDefault="00066E33" w:rsidP="00066E33">
      <w:pPr>
        <w:jc w:val="center"/>
        <w:rPr>
          <w:rFonts w:eastAsia="Arial" w:cs="Arial"/>
          <w:szCs w:val="22"/>
        </w:rPr>
      </w:pPr>
    </w:p>
    <w:p w14:paraId="09DCA370" w14:textId="7AEB3FC2" w:rsidR="00066E33" w:rsidRPr="00E06323" w:rsidRDefault="00066E33" w:rsidP="00066E33">
      <w:pPr>
        <w:pStyle w:val="Sansinterligne"/>
        <w:rPr>
          <w:rFonts w:eastAsia="Arial"/>
        </w:rPr>
      </w:pPr>
      <w:bookmarkStart w:id="104" w:name="_Toc65513822"/>
      <w:bookmarkStart w:id="105" w:name="_Toc65685029"/>
      <w:bookmarkStart w:id="106" w:name="_Toc65685671"/>
      <w:bookmarkStart w:id="107" w:name="_Toc65687451"/>
      <w:r w:rsidRPr="00E06323">
        <w:rPr>
          <w:rFonts w:eastAsia="Arial"/>
        </w:rPr>
        <w:lastRenderedPageBreak/>
        <w:t>Amendement n°</w:t>
      </w:r>
      <w:bookmarkStart w:id="108" w:name="_heading=h.n817oyxqd3o1" w:colFirst="0" w:colLast="0"/>
      <w:bookmarkStart w:id="109" w:name="_heading=h.da9hzb2p48h8" w:colFirst="0" w:colLast="0"/>
      <w:bookmarkEnd w:id="108"/>
      <w:bookmarkEnd w:id="109"/>
      <w:r w:rsidR="006B77C2">
        <w:rPr>
          <w:rFonts w:eastAsia="Arial"/>
        </w:rPr>
        <w:t>16</w:t>
      </w:r>
      <w:r w:rsidRPr="00E06323">
        <w:rPr>
          <w:rFonts w:eastAsia="Arial"/>
        </w:rPr>
        <w:t xml:space="preserve"> - Compenser le surcoût de l’énergie </w:t>
      </w:r>
      <w:proofErr w:type="spellStart"/>
      <w:r w:rsidRPr="00E06323">
        <w:rPr>
          <w:rFonts w:eastAsia="Arial"/>
        </w:rPr>
        <w:t>décarbonée</w:t>
      </w:r>
      <w:proofErr w:type="spellEnd"/>
      <w:r w:rsidRPr="00E06323">
        <w:rPr>
          <w:rFonts w:eastAsia="Arial"/>
        </w:rPr>
        <w:t xml:space="preserve"> pour les abonnés à un réseau de chaleur utilisant plus de 50 % d’énergies renouvelables et de récupération</w:t>
      </w:r>
      <w:bookmarkEnd w:id="104"/>
      <w:bookmarkEnd w:id="105"/>
      <w:bookmarkEnd w:id="106"/>
      <w:bookmarkEnd w:id="107"/>
    </w:p>
    <w:p w14:paraId="7076B7CE" w14:textId="77777777" w:rsidR="00066E33" w:rsidRDefault="00066E33" w:rsidP="00066E33">
      <w:pPr>
        <w:jc w:val="both"/>
        <w:rPr>
          <w:rFonts w:eastAsia="Arial" w:cs="Arial"/>
          <w:i/>
          <w:szCs w:val="22"/>
        </w:rPr>
      </w:pPr>
      <w:r>
        <w:rPr>
          <w:rFonts w:eastAsia="Arial" w:cs="Arial"/>
          <w:szCs w:val="22"/>
        </w:rPr>
        <w:t xml:space="preserve"> </w:t>
      </w:r>
    </w:p>
    <w:p w14:paraId="15765BEA" w14:textId="77777777" w:rsidR="00066E33" w:rsidRDefault="00066E33" w:rsidP="00066E33">
      <w:pPr>
        <w:jc w:val="center"/>
        <w:rPr>
          <w:rFonts w:eastAsia="Arial" w:cs="Arial"/>
          <w:szCs w:val="22"/>
        </w:rPr>
      </w:pPr>
      <w:bookmarkStart w:id="110" w:name="_heading=h.fht3dmj4ph91" w:colFirst="0" w:colLast="0"/>
      <w:bookmarkEnd w:id="110"/>
      <w:r>
        <w:rPr>
          <w:rFonts w:eastAsia="Arial" w:cs="Arial"/>
          <w:szCs w:val="22"/>
        </w:rPr>
        <w:t>Présenté par</w:t>
      </w:r>
    </w:p>
    <w:p w14:paraId="78B0E012" w14:textId="77777777" w:rsidR="00066E33" w:rsidRDefault="00066E33" w:rsidP="00066E33">
      <w:pPr>
        <w:jc w:val="center"/>
        <w:rPr>
          <w:rFonts w:eastAsia="Arial" w:cs="Arial"/>
          <w:szCs w:val="22"/>
        </w:rPr>
      </w:pPr>
      <w:bookmarkStart w:id="111" w:name="_heading=h.szj44lerdei5" w:colFirst="0" w:colLast="0"/>
      <w:bookmarkEnd w:id="111"/>
      <w:r>
        <w:rPr>
          <w:rFonts w:eastAsia="Arial" w:cs="Arial"/>
          <w:szCs w:val="22"/>
        </w:rPr>
        <w:t>…..</w:t>
      </w:r>
    </w:p>
    <w:p w14:paraId="3490F7FE" w14:textId="77777777" w:rsidR="00066E33" w:rsidRDefault="00066E33" w:rsidP="00066E33">
      <w:pPr>
        <w:jc w:val="center"/>
        <w:rPr>
          <w:rFonts w:eastAsia="Arial" w:cs="Arial"/>
          <w:i/>
          <w:szCs w:val="22"/>
        </w:rPr>
      </w:pPr>
      <w:bookmarkStart w:id="112" w:name="_heading=h.chpl3orhcx6" w:colFirst="0" w:colLast="0"/>
      <w:bookmarkEnd w:id="112"/>
    </w:p>
    <w:p w14:paraId="3886A304" w14:textId="77777777" w:rsidR="00066E33" w:rsidRDefault="00066E33" w:rsidP="00066E33">
      <w:pPr>
        <w:jc w:val="center"/>
        <w:rPr>
          <w:rFonts w:eastAsia="Arial" w:cs="Arial"/>
          <w:szCs w:val="22"/>
        </w:rPr>
      </w:pPr>
      <w:r>
        <w:rPr>
          <w:rFonts w:eastAsia="Arial" w:cs="Arial"/>
          <w:szCs w:val="22"/>
        </w:rPr>
        <w:t xml:space="preserve">Article additionnel </w:t>
      </w:r>
    </w:p>
    <w:p w14:paraId="20289ED5" w14:textId="77777777" w:rsidR="00066E33" w:rsidRDefault="00066E33" w:rsidP="00066E33">
      <w:pPr>
        <w:jc w:val="center"/>
        <w:rPr>
          <w:rFonts w:eastAsia="Arial" w:cs="Arial"/>
          <w:szCs w:val="22"/>
        </w:rPr>
      </w:pPr>
      <w:r>
        <w:rPr>
          <w:rFonts w:eastAsia="Arial" w:cs="Arial"/>
          <w:szCs w:val="22"/>
        </w:rPr>
        <w:t xml:space="preserve">Après l’article 22, insérer l’article supplémentaire ainsi rédigé : </w:t>
      </w:r>
    </w:p>
    <w:p w14:paraId="516204B4" w14:textId="77777777" w:rsidR="00066E33" w:rsidRDefault="00066E33" w:rsidP="00066E33">
      <w:pPr>
        <w:jc w:val="both"/>
        <w:rPr>
          <w:rFonts w:eastAsia="Arial" w:cs="Arial"/>
          <w:szCs w:val="22"/>
        </w:rPr>
      </w:pPr>
    </w:p>
    <w:p w14:paraId="385B577D" w14:textId="77777777" w:rsidR="00066E33" w:rsidRDefault="00066E33" w:rsidP="00066E33">
      <w:pPr>
        <w:jc w:val="both"/>
        <w:rPr>
          <w:rFonts w:eastAsia="Arial" w:cs="Arial"/>
          <w:szCs w:val="22"/>
        </w:rPr>
      </w:pPr>
      <w:r>
        <w:rPr>
          <w:rFonts w:eastAsia="Arial" w:cs="Arial"/>
          <w:szCs w:val="22"/>
        </w:rPr>
        <w:t>I. Après le chapitre IV du titre II du Livre 1er du Code l’énergie est créé un chapitre V rédigé comme suit :</w:t>
      </w:r>
    </w:p>
    <w:p w14:paraId="2338380B" w14:textId="77777777" w:rsidR="00066E33" w:rsidRDefault="00066E33" w:rsidP="00066E33">
      <w:pPr>
        <w:jc w:val="both"/>
        <w:rPr>
          <w:rFonts w:eastAsia="Arial" w:cs="Arial"/>
          <w:szCs w:val="22"/>
        </w:rPr>
      </w:pPr>
      <w:r>
        <w:rPr>
          <w:rFonts w:eastAsia="Arial" w:cs="Arial"/>
          <w:szCs w:val="22"/>
        </w:rPr>
        <w:t xml:space="preserve"> </w:t>
      </w:r>
    </w:p>
    <w:p w14:paraId="3ECACB79" w14:textId="77777777" w:rsidR="00066E33" w:rsidRDefault="00066E33" w:rsidP="00066E33">
      <w:pPr>
        <w:jc w:val="both"/>
        <w:rPr>
          <w:rFonts w:eastAsia="Arial" w:cs="Arial"/>
          <w:szCs w:val="22"/>
        </w:rPr>
      </w:pPr>
      <w:r>
        <w:rPr>
          <w:rFonts w:eastAsia="Arial" w:cs="Arial"/>
          <w:szCs w:val="22"/>
        </w:rPr>
        <w:t>“Chapitre V - La protection des abonnés à un réseau de chaleur</w:t>
      </w:r>
    </w:p>
    <w:p w14:paraId="04ECB3C2" w14:textId="77777777" w:rsidR="00066E33" w:rsidRDefault="00066E33" w:rsidP="00066E33">
      <w:pPr>
        <w:jc w:val="both"/>
        <w:rPr>
          <w:rFonts w:eastAsia="Arial" w:cs="Arial"/>
          <w:szCs w:val="22"/>
        </w:rPr>
      </w:pPr>
      <w:r>
        <w:rPr>
          <w:rFonts w:eastAsia="Arial" w:cs="Arial"/>
          <w:szCs w:val="22"/>
        </w:rPr>
        <w:t xml:space="preserve"> </w:t>
      </w:r>
    </w:p>
    <w:p w14:paraId="07B8C1F1" w14:textId="77777777" w:rsidR="00066E33" w:rsidRDefault="00066E33" w:rsidP="00066E33">
      <w:pPr>
        <w:jc w:val="both"/>
        <w:rPr>
          <w:rFonts w:eastAsia="Arial" w:cs="Arial"/>
          <w:szCs w:val="22"/>
        </w:rPr>
      </w:pPr>
      <w:r>
        <w:rPr>
          <w:rFonts w:eastAsia="Arial" w:cs="Arial"/>
          <w:szCs w:val="22"/>
        </w:rPr>
        <w:t>Art. L.125-1 - La compensation du surcoût des énergies renouvelables et de récupération est un versement au profit de tout abonné à un réseau de chaleur, livrant de la chaleur produite au moins à partir de 50% d’énergies renouvelables et de récupération, pour lequel le raccordement à celui-ci causerait une augmentation du coût de son approvisionnement en chaleur. En effet, la facture énergétique en coût global serait supérieure à sa facture énergétique en coût global s'il était chauffé avec une solution fossile de référence."</w:t>
      </w:r>
    </w:p>
    <w:p w14:paraId="55F4F153" w14:textId="77777777" w:rsidR="00066E33" w:rsidRDefault="00066E33" w:rsidP="00066E33">
      <w:pPr>
        <w:jc w:val="both"/>
        <w:rPr>
          <w:rFonts w:eastAsia="Arial" w:cs="Arial"/>
          <w:szCs w:val="22"/>
        </w:rPr>
      </w:pPr>
      <w:r>
        <w:rPr>
          <w:rFonts w:eastAsia="Arial" w:cs="Arial"/>
          <w:szCs w:val="22"/>
        </w:rPr>
        <w:t xml:space="preserve"> </w:t>
      </w:r>
    </w:p>
    <w:p w14:paraId="30DACE87" w14:textId="77777777" w:rsidR="00066E33" w:rsidRDefault="00066E33" w:rsidP="00066E33">
      <w:pPr>
        <w:jc w:val="both"/>
        <w:rPr>
          <w:rFonts w:eastAsia="Arial" w:cs="Arial"/>
          <w:szCs w:val="22"/>
        </w:rPr>
      </w:pPr>
      <w:r>
        <w:rPr>
          <w:rFonts w:eastAsia="Arial" w:cs="Arial"/>
          <w:szCs w:val="22"/>
        </w:rPr>
        <w:t>La compensation est versée annuellement par l’</w:t>
      </w:r>
      <w:r>
        <w:rPr>
          <w:rFonts w:eastAsia="Arial" w:cs="Arial"/>
          <w:szCs w:val="22"/>
          <w:highlight w:val="white"/>
        </w:rPr>
        <w:t>Agence de l'environnement et de la maîtrise de l'énergie mentionnée à l’article L.131-3 du code de l’environnement</w:t>
      </w:r>
      <w:r>
        <w:rPr>
          <w:rFonts w:eastAsia="Arial" w:cs="Arial"/>
          <w:szCs w:val="22"/>
        </w:rPr>
        <w:t xml:space="preserve"> à tout abonné en faisant la demande dès lors qu’il justifie, par la production de ses factures de l’année n-1 d’approvisionnement en chaleur, d’une différence par rapport au coût qui aurait été à sa charge s’il n’avait pas changé de système de chauffage.</w:t>
      </w:r>
    </w:p>
    <w:p w14:paraId="5531CE8F" w14:textId="77777777" w:rsidR="00066E33" w:rsidRDefault="00066E33" w:rsidP="00066E33">
      <w:pPr>
        <w:jc w:val="both"/>
        <w:rPr>
          <w:rFonts w:eastAsia="Arial" w:cs="Arial"/>
          <w:szCs w:val="22"/>
        </w:rPr>
      </w:pPr>
      <w:r>
        <w:rPr>
          <w:rFonts w:eastAsia="Arial" w:cs="Arial"/>
          <w:szCs w:val="22"/>
        </w:rPr>
        <w:t xml:space="preserve"> </w:t>
      </w:r>
    </w:p>
    <w:p w14:paraId="72CE22A8" w14:textId="77777777" w:rsidR="00066E33" w:rsidRDefault="00066E33" w:rsidP="00066E33">
      <w:pPr>
        <w:jc w:val="both"/>
        <w:rPr>
          <w:rFonts w:eastAsia="Arial" w:cs="Arial"/>
          <w:szCs w:val="22"/>
        </w:rPr>
      </w:pPr>
      <w:r>
        <w:rPr>
          <w:rFonts w:eastAsia="Arial" w:cs="Arial"/>
          <w:szCs w:val="22"/>
        </w:rPr>
        <w:t>Le coût qui aurait dû être à sa charge est calculé par le produit de ses consommations et d’un coût de référence de l’ancienne énergie utilisée.</w:t>
      </w:r>
    </w:p>
    <w:p w14:paraId="691477A5" w14:textId="77777777" w:rsidR="00066E33" w:rsidRDefault="00066E33" w:rsidP="00066E33">
      <w:pPr>
        <w:jc w:val="both"/>
        <w:rPr>
          <w:rFonts w:eastAsia="Arial" w:cs="Arial"/>
          <w:szCs w:val="22"/>
        </w:rPr>
      </w:pPr>
      <w:r>
        <w:rPr>
          <w:rFonts w:eastAsia="Arial" w:cs="Arial"/>
          <w:szCs w:val="22"/>
        </w:rPr>
        <w:t xml:space="preserve"> </w:t>
      </w:r>
    </w:p>
    <w:p w14:paraId="513EF571" w14:textId="77777777" w:rsidR="00066E33" w:rsidRDefault="00066E33" w:rsidP="00066E33">
      <w:pPr>
        <w:jc w:val="both"/>
        <w:rPr>
          <w:rFonts w:eastAsia="Arial" w:cs="Arial"/>
          <w:szCs w:val="22"/>
          <w:highlight w:val="white"/>
        </w:rPr>
      </w:pPr>
      <w:r>
        <w:rPr>
          <w:rFonts w:eastAsia="Arial" w:cs="Arial"/>
          <w:szCs w:val="22"/>
        </w:rPr>
        <w:t>Ce coût de référence est calculé et publié annuellement pour chaque énergie par l’</w:t>
      </w:r>
      <w:r>
        <w:rPr>
          <w:rFonts w:eastAsia="Arial" w:cs="Arial"/>
          <w:szCs w:val="22"/>
          <w:highlight w:val="white"/>
        </w:rPr>
        <w:t>Agence de l'environnement et de la maîtrise de l'énergie mentionnée à l’article L.131-3 du code de l’environnement.</w:t>
      </w:r>
    </w:p>
    <w:p w14:paraId="775ADD98" w14:textId="77777777" w:rsidR="00066E33" w:rsidRDefault="00066E33" w:rsidP="00066E33">
      <w:pPr>
        <w:jc w:val="both"/>
        <w:rPr>
          <w:rFonts w:eastAsia="Arial" w:cs="Arial"/>
          <w:szCs w:val="22"/>
        </w:rPr>
      </w:pPr>
      <w:r>
        <w:rPr>
          <w:rFonts w:eastAsia="Arial" w:cs="Arial"/>
          <w:szCs w:val="22"/>
        </w:rPr>
        <w:t xml:space="preserve"> </w:t>
      </w:r>
    </w:p>
    <w:p w14:paraId="73F3FF7C" w14:textId="77777777" w:rsidR="00066E33" w:rsidRDefault="00066E33" w:rsidP="00066E33">
      <w:pPr>
        <w:shd w:val="clear" w:color="auto" w:fill="FFFFFF"/>
        <w:spacing w:after="220"/>
        <w:jc w:val="both"/>
        <w:rPr>
          <w:rFonts w:eastAsia="Arial" w:cs="Arial"/>
          <w:szCs w:val="22"/>
        </w:rPr>
      </w:pPr>
      <w:r>
        <w:rPr>
          <w:rFonts w:eastAsia="Arial" w:cs="Arial"/>
          <w:szCs w:val="22"/>
        </w:rPr>
        <w:t>Un décret en Conseil d'État détermine les conditions d'application du présent article.”</w:t>
      </w:r>
    </w:p>
    <w:p w14:paraId="729D2E35" w14:textId="77777777" w:rsidR="00066E33" w:rsidRDefault="00066E33" w:rsidP="00066E33">
      <w:pPr>
        <w:shd w:val="clear" w:color="auto" w:fill="FFFFFF"/>
        <w:spacing w:after="220"/>
        <w:jc w:val="both"/>
        <w:rPr>
          <w:rFonts w:eastAsia="Arial" w:cs="Arial"/>
          <w:szCs w:val="22"/>
        </w:rPr>
      </w:pPr>
      <w:r>
        <w:rPr>
          <w:rFonts w:eastAsia="Arial" w:cs="Arial"/>
          <w:szCs w:val="22"/>
        </w:rPr>
        <w:t>I. Une fraction du produit de la taxe intérieure de consommation sur les produits énergétiques prévue à l’article 265 du code des douanes revenant à l’État est affectée au financement de cette compensation. Pour l’année 2021, cette fraction ne peut être supérieure à 180 millions d’euros.</w:t>
      </w:r>
    </w:p>
    <w:p w14:paraId="13029254" w14:textId="77777777" w:rsidR="00066E33" w:rsidRDefault="00066E33" w:rsidP="00066E33">
      <w:pPr>
        <w:jc w:val="both"/>
        <w:rPr>
          <w:rFonts w:eastAsia="Arial" w:cs="Arial"/>
          <w:szCs w:val="22"/>
        </w:rPr>
      </w:pPr>
      <w:r>
        <w:rPr>
          <w:rFonts w:eastAsia="Arial" w:cs="Arial"/>
          <w:szCs w:val="22"/>
        </w:rPr>
        <w:t xml:space="preserve"> </w:t>
      </w:r>
    </w:p>
    <w:p w14:paraId="64B469B8" w14:textId="77777777" w:rsidR="00066E33" w:rsidRDefault="00066E33" w:rsidP="00066E33">
      <w:pPr>
        <w:jc w:val="both"/>
        <w:rPr>
          <w:rFonts w:eastAsia="Arial" w:cs="Arial"/>
          <w:szCs w:val="22"/>
        </w:rPr>
      </w:pPr>
      <w:r>
        <w:rPr>
          <w:rFonts w:eastAsia="Arial" w:cs="Arial"/>
          <w:szCs w:val="22"/>
        </w:rPr>
        <w:t>II. La perte de recettes résultant pour l’État du II ci-dessus est compensée, à due concurrence, par la création d’une taxe additionnelle aux droits prévus aux articles 575 et 575 A du code général des impôts.</w:t>
      </w:r>
    </w:p>
    <w:p w14:paraId="7848A370" w14:textId="77777777" w:rsidR="00066E33" w:rsidRDefault="00066E33" w:rsidP="00066E33">
      <w:pPr>
        <w:jc w:val="both"/>
        <w:rPr>
          <w:rFonts w:eastAsia="Arial" w:cs="Arial"/>
          <w:szCs w:val="22"/>
        </w:rPr>
      </w:pPr>
      <w:r>
        <w:rPr>
          <w:rFonts w:eastAsia="Arial" w:cs="Arial"/>
          <w:szCs w:val="22"/>
        </w:rPr>
        <w:t xml:space="preserve"> </w:t>
      </w:r>
    </w:p>
    <w:p w14:paraId="15B2F999" w14:textId="77777777" w:rsidR="00066E33" w:rsidRPr="00E06323" w:rsidRDefault="00066E33" w:rsidP="00066E33">
      <w:pPr>
        <w:jc w:val="center"/>
        <w:rPr>
          <w:rFonts w:eastAsia="Arial" w:cs="Arial"/>
          <w:b/>
          <w:szCs w:val="22"/>
        </w:rPr>
      </w:pPr>
      <w:r w:rsidRPr="00E06323">
        <w:rPr>
          <w:rFonts w:eastAsia="Arial" w:cs="Arial"/>
          <w:b/>
          <w:szCs w:val="22"/>
        </w:rPr>
        <w:t xml:space="preserve">Exposé sommaire </w:t>
      </w:r>
    </w:p>
    <w:p w14:paraId="0E1E2A71" w14:textId="77777777" w:rsidR="00066E33" w:rsidRDefault="00066E33" w:rsidP="00066E33">
      <w:pPr>
        <w:jc w:val="both"/>
        <w:rPr>
          <w:rFonts w:eastAsia="Arial" w:cs="Arial"/>
          <w:szCs w:val="22"/>
        </w:rPr>
      </w:pPr>
      <w:r>
        <w:rPr>
          <w:rFonts w:eastAsia="Arial" w:cs="Arial"/>
          <w:szCs w:val="22"/>
        </w:rPr>
        <w:t xml:space="preserve"> </w:t>
      </w:r>
    </w:p>
    <w:p w14:paraId="364EEBF2" w14:textId="77777777" w:rsidR="00066E33" w:rsidRDefault="00066E33" w:rsidP="00066E33">
      <w:pPr>
        <w:spacing w:line="276" w:lineRule="auto"/>
        <w:jc w:val="both"/>
        <w:rPr>
          <w:rFonts w:eastAsia="Arial" w:cs="Arial"/>
          <w:i/>
          <w:szCs w:val="22"/>
        </w:rPr>
      </w:pPr>
      <w:r>
        <w:rPr>
          <w:rFonts w:eastAsia="Arial" w:cs="Arial"/>
          <w:szCs w:val="22"/>
        </w:rPr>
        <w:t xml:space="preserve">Dans son plan de relance, le gouvernement a affiché la volonté de </w:t>
      </w:r>
      <w:r>
        <w:rPr>
          <w:rFonts w:eastAsia="Arial" w:cs="Arial"/>
          <w:i/>
          <w:szCs w:val="22"/>
        </w:rPr>
        <w:t>“mettre fin à cette situation absurde où l’on importe de l’énergie, en particulier les hydrocarbures, là où nous avons les moyens d’en consommer moins et mieux”.</w:t>
      </w:r>
    </w:p>
    <w:p w14:paraId="0CBE73EA" w14:textId="77777777" w:rsidR="00066E33" w:rsidRDefault="00066E33" w:rsidP="00066E33">
      <w:pPr>
        <w:spacing w:line="276" w:lineRule="auto"/>
        <w:jc w:val="both"/>
        <w:rPr>
          <w:rFonts w:eastAsia="Arial" w:cs="Arial"/>
          <w:szCs w:val="22"/>
        </w:rPr>
      </w:pPr>
      <w:r>
        <w:rPr>
          <w:rFonts w:eastAsia="Arial" w:cs="Arial"/>
          <w:szCs w:val="22"/>
        </w:rPr>
        <w:t xml:space="preserve"> </w:t>
      </w:r>
    </w:p>
    <w:p w14:paraId="0171990D" w14:textId="77777777" w:rsidR="00066E33" w:rsidRDefault="00066E33" w:rsidP="00066E33">
      <w:pPr>
        <w:spacing w:line="276" w:lineRule="auto"/>
        <w:jc w:val="both"/>
        <w:rPr>
          <w:rFonts w:eastAsia="Arial" w:cs="Arial"/>
          <w:szCs w:val="22"/>
        </w:rPr>
      </w:pPr>
      <w:r>
        <w:rPr>
          <w:rFonts w:eastAsia="Arial" w:cs="Arial"/>
          <w:szCs w:val="22"/>
        </w:rPr>
        <w:t xml:space="preserve">Dans cette volonté de relocalisation de l’énergie, il est important de ne pas oublier le rôle essentiel à jouer par les filières de la chaleur renouvelable (géothermie, solaire thermique, biomasse, biogaz) qui ne sont pas mises en avant à l’exception de la biomasse. Ces </w:t>
      </w:r>
      <w:r>
        <w:rPr>
          <w:rFonts w:eastAsia="Arial" w:cs="Arial"/>
          <w:szCs w:val="22"/>
        </w:rPr>
        <w:lastRenderedPageBreak/>
        <w:t>ressources sont pourtant largement présentes sur le territoire français et les technologies sont matures.</w:t>
      </w:r>
    </w:p>
    <w:p w14:paraId="7E092E4F" w14:textId="77777777" w:rsidR="00066E33" w:rsidRDefault="00066E33" w:rsidP="00066E33">
      <w:pPr>
        <w:jc w:val="both"/>
        <w:rPr>
          <w:rFonts w:eastAsia="Arial" w:cs="Arial"/>
          <w:szCs w:val="22"/>
        </w:rPr>
      </w:pPr>
      <w:r>
        <w:rPr>
          <w:rFonts w:eastAsia="Arial" w:cs="Arial"/>
          <w:szCs w:val="22"/>
        </w:rPr>
        <w:t xml:space="preserve"> </w:t>
      </w:r>
    </w:p>
    <w:p w14:paraId="41427B72" w14:textId="77777777" w:rsidR="00066E33" w:rsidRDefault="00066E33" w:rsidP="00066E33">
      <w:pPr>
        <w:spacing w:line="276" w:lineRule="auto"/>
        <w:jc w:val="both"/>
        <w:rPr>
          <w:rFonts w:eastAsia="Arial" w:cs="Arial"/>
          <w:szCs w:val="22"/>
        </w:rPr>
      </w:pPr>
      <w:r>
        <w:rPr>
          <w:rFonts w:eastAsia="Arial" w:cs="Arial"/>
          <w:szCs w:val="22"/>
        </w:rPr>
        <w:t>De plus, la compétitivité de ces filières renouvelables est aujourd’hui mise à mal par la concurrence des dits “hydrocarbures” importés, en particulier le gaz naturel, alors que ces filières présentent un potentiel d’emploi et de relocalisation de l’économie. L’aide à l’investissement qui aide la chaleur renouvelable collective, le Fonds chaleur, est indispensable mais pas suffisant pour donner une visibilité sur la compétitivité dans le temps des projets vu les prix très bas et fluctuants des énergies fossiles.</w:t>
      </w:r>
    </w:p>
    <w:p w14:paraId="2E869543" w14:textId="77777777" w:rsidR="00066E33" w:rsidRDefault="00066E33" w:rsidP="00066E33">
      <w:pPr>
        <w:spacing w:line="276" w:lineRule="auto"/>
        <w:jc w:val="both"/>
        <w:rPr>
          <w:rFonts w:eastAsia="Arial" w:cs="Arial"/>
          <w:szCs w:val="22"/>
        </w:rPr>
      </w:pPr>
      <w:r>
        <w:rPr>
          <w:rFonts w:eastAsia="Arial" w:cs="Arial"/>
          <w:szCs w:val="22"/>
        </w:rPr>
        <w:t xml:space="preserve"> </w:t>
      </w:r>
    </w:p>
    <w:p w14:paraId="7C1904CD" w14:textId="77777777" w:rsidR="00066E33" w:rsidRDefault="00066E33" w:rsidP="00066E33">
      <w:pPr>
        <w:spacing w:line="276" w:lineRule="auto"/>
        <w:jc w:val="both"/>
        <w:rPr>
          <w:rFonts w:eastAsia="Arial" w:cs="Arial"/>
          <w:szCs w:val="22"/>
        </w:rPr>
      </w:pPr>
      <w:r>
        <w:rPr>
          <w:rFonts w:eastAsia="Arial" w:cs="Arial"/>
          <w:szCs w:val="22"/>
        </w:rPr>
        <w:t xml:space="preserve">Cet amendement propose donc d’élargir la mesure de compensation du surcoût de l’énergie </w:t>
      </w:r>
      <w:proofErr w:type="spellStart"/>
      <w:r>
        <w:rPr>
          <w:rFonts w:eastAsia="Arial" w:cs="Arial"/>
          <w:szCs w:val="22"/>
        </w:rPr>
        <w:t>décarbonée</w:t>
      </w:r>
      <w:proofErr w:type="spellEnd"/>
      <w:r>
        <w:rPr>
          <w:rFonts w:eastAsia="Arial" w:cs="Arial"/>
          <w:szCs w:val="22"/>
        </w:rPr>
        <w:t xml:space="preserve"> par rapport aux énergies fossiles dans l'industrie aux secteurs du résidentiel et du tertiaire, étant donné que ceux-ci représentent près de deux fois plus d’émissions de gaz à effet de serre que l’industrie. Cette compensation pourra bénéficier aux réseaux de chaleur existants, qui sont en difficulté aujourd'hui.</w:t>
      </w:r>
      <w:r>
        <w:br w:type="page"/>
      </w:r>
    </w:p>
    <w:p w14:paraId="66DA2807" w14:textId="668A0607" w:rsidR="00066E33" w:rsidRPr="00E06323" w:rsidRDefault="00066E33" w:rsidP="00066E33">
      <w:pPr>
        <w:pStyle w:val="Sansinterligne"/>
        <w:rPr>
          <w:rFonts w:eastAsia="Arial"/>
        </w:rPr>
      </w:pPr>
      <w:bookmarkStart w:id="113" w:name="_Toc65513823"/>
      <w:bookmarkStart w:id="114" w:name="_Toc65685030"/>
      <w:bookmarkStart w:id="115" w:name="_Toc65685672"/>
      <w:bookmarkStart w:id="116" w:name="_Toc65687452"/>
      <w:r>
        <w:rPr>
          <w:rFonts w:eastAsia="Arial"/>
        </w:rPr>
        <w:lastRenderedPageBreak/>
        <w:t>Amendement n°</w:t>
      </w:r>
      <w:r w:rsidR="00C477A6">
        <w:rPr>
          <w:rFonts w:eastAsia="Arial"/>
        </w:rPr>
        <w:t>1</w:t>
      </w:r>
      <w:r w:rsidR="006B77C2">
        <w:rPr>
          <w:rFonts w:eastAsia="Arial"/>
        </w:rPr>
        <w:t>7</w:t>
      </w:r>
      <w:r>
        <w:rPr>
          <w:rFonts w:eastAsia="Arial"/>
        </w:rPr>
        <w:t xml:space="preserve"> - Rendre effectif le classement automatique des réseaux de chaleur et de froid renouvelables</w:t>
      </w:r>
      <w:bookmarkEnd w:id="113"/>
      <w:bookmarkEnd w:id="114"/>
      <w:bookmarkEnd w:id="115"/>
      <w:bookmarkEnd w:id="116"/>
    </w:p>
    <w:p w14:paraId="5A3E829D" w14:textId="77777777" w:rsidR="00066E33" w:rsidRDefault="00066E33" w:rsidP="00066E33">
      <w:pPr>
        <w:jc w:val="both"/>
        <w:rPr>
          <w:rFonts w:eastAsia="Arial" w:cs="Arial"/>
          <w:szCs w:val="22"/>
        </w:rPr>
      </w:pPr>
    </w:p>
    <w:p w14:paraId="2B25945B" w14:textId="77777777" w:rsidR="00066E33" w:rsidRDefault="00066E33" w:rsidP="00066E33">
      <w:pPr>
        <w:jc w:val="center"/>
        <w:rPr>
          <w:rFonts w:eastAsia="Arial" w:cs="Arial"/>
          <w:szCs w:val="22"/>
        </w:rPr>
      </w:pPr>
      <w:r>
        <w:rPr>
          <w:rFonts w:eastAsia="Arial" w:cs="Arial"/>
          <w:szCs w:val="22"/>
        </w:rPr>
        <w:t xml:space="preserve">Présenté par </w:t>
      </w:r>
    </w:p>
    <w:p w14:paraId="5BB9404C" w14:textId="77777777" w:rsidR="00066E33" w:rsidRDefault="00066E33" w:rsidP="00066E33">
      <w:pPr>
        <w:jc w:val="center"/>
        <w:rPr>
          <w:rFonts w:eastAsia="Arial" w:cs="Arial"/>
          <w:szCs w:val="22"/>
        </w:rPr>
      </w:pPr>
      <w:r>
        <w:rPr>
          <w:rFonts w:eastAsia="Arial" w:cs="Arial"/>
          <w:szCs w:val="22"/>
        </w:rPr>
        <w:t>…..</w:t>
      </w:r>
    </w:p>
    <w:p w14:paraId="6CE48A42" w14:textId="77777777" w:rsidR="00066E33" w:rsidRDefault="00066E33" w:rsidP="00066E33">
      <w:pPr>
        <w:jc w:val="both"/>
        <w:rPr>
          <w:rFonts w:eastAsia="Arial" w:cs="Arial"/>
          <w:szCs w:val="22"/>
        </w:rPr>
      </w:pPr>
    </w:p>
    <w:p w14:paraId="16990056" w14:textId="77777777" w:rsidR="00066E33" w:rsidRDefault="00066E33" w:rsidP="00066E33">
      <w:pPr>
        <w:jc w:val="center"/>
        <w:rPr>
          <w:rFonts w:eastAsia="Arial" w:cs="Arial"/>
          <w:szCs w:val="22"/>
        </w:rPr>
      </w:pPr>
      <w:r>
        <w:rPr>
          <w:rFonts w:eastAsia="Arial" w:cs="Arial"/>
          <w:szCs w:val="22"/>
        </w:rPr>
        <w:t>Modifier l’article 22</w:t>
      </w:r>
    </w:p>
    <w:p w14:paraId="06AEAE8D" w14:textId="77777777" w:rsidR="00066E33" w:rsidRDefault="00066E33" w:rsidP="00066E33">
      <w:pPr>
        <w:jc w:val="both"/>
        <w:rPr>
          <w:rFonts w:eastAsia="Arial" w:cs="Arial"/>
          <w:szCs w:val="22"/>
        </w:rPr>
      </w:pPr>
    </w:p>
    <w:p w14:paraId="766AF963" w14:textId="77777777" w:rsidR="00066E33" w:rsidRDefault="00066E33" w:rsidP="00066E33">
      <w:pPr>
        <w:jc w:val="both"/>
        <w:rPr>
          <w:rFonts w:eastAsia="Arial" w:cs="Arial"/>
          <w:szCs w:val="22"/>
        </w:rPr>
      </w:pPr>
      <w:r>
        <w:rPr>
          <w:rFonts w:eastAsia="Arial" w:cs="Arial"/>
          <w:szCs w:val="22"/>
        </w:rPr>
        <w:t>A l’Article 22, insérer les paragraphes additionnels ainsi rédigés :</w:t>
      </w:r>
    </w:p>
    <w:p w14:paraId="00EE4494" w14:textId="77777777" w:rsidR="00066E33" w:rsidRDefault="00066E33" w:rsidP="00066E33">
      <w:pPr>
        <w:jc w:val="both"/>
        <w:rPr>
          <w:rFonts w:eastAsia="Arial" w:cs="Arial"/>
          <w:szCs w:val="22"/>
        </w:rPr>
      </w:pPr>
    </w:p>
    <w:p w14:paraId="4FC98DBF" w14:textId="77777777" w:rsidR="00066E33" w:rsidRDefault="00066E33" w:rsidP="00066E33">
      <w:pPr>
        <w:jc w:val="both"/>
        <w:rPr>
          <w:rFonts w:eastAsia="Arial" w:cs="Arial"/>
          <w:szCs w:val="22"/>
        </w:rPr>
      </w:pPr>
      <w:r>
        <w:rPr>
          <w:rFonts w:eastAsia="Arial" w:cs="Arial"/>
          <w:szCs w:val="22"/>
        </w:rPr>
        <w:t>VI. – Ajouter à l’Article L.2224-38 du code général des collectivités territoriales le paragraphe suivant :</w:t>
      </w:r>
    </w:p>
    <w:p w14:paraId="024FCA22" w14:textId="77777777" w:rsidR="00066E33" w:rsidRDefault="00066E33" w:rsidP="00066E33">
      <w:pPr>
        <w:jc w:val="both"/>
        <w:rPr>
          <w:rFonts w:eastAsia="Arial" w:cs="Arial"/>
          <w:szCs w:val="22"/>
        </w:rPr>
      </w:pPr>
      <w:r>
        <w:rPr>
          <w:rFonts w:eastAsia="Arial" w:cs="Arial"/>
          <w:szCs w:val="22"/>
        </w:rPr>
        <w:t xml:space="preserve">« III.- Les collectivités territoriales chargées d'un service public de distribution de chaleur ou de froid délimitent, conformément aux dispositions du chapitre II du titre I du livre VII de la partie législative du code de l’énergie, les zones de développement prioritaires des réseaux de chaleur et de froid classés au sein desquelles le raccordement est obligatoire. A défaut, la zone de développement prioritaire applicable est celle définie au chapitre II du titre I du livre VII de la partie réglementaire du code de l’énergie ». </w:t>
      </w:r>
    </w:p>
    <w:p w14:paraId="4A0A2EF3" w14:textId="77777777" w:rsidR="00066E33" w:rsidRDefault="00066E33" w:rsidP="00066E33">
      <w:pPr>
        <w:jc w:val="both"/>
        <w:rPr>
          <w:rFonts w:eastAsia="Arial" w:cs="Arial"/>
          <w:szCs w:val="22"/>
        </w:rPr>
      </w:pPr>
    </w:p>
    <w:p w14:paraId="03B80DC1" w14:textId="77777777" w:rsidR="00066E33" w:rsidRDefault="00066E33" w:rsidP="00066E33">
      <w:pPr>
        <w:jc w:val="both"/>
        <w:rPr>
          <w:rFonts w:eastAsia="Arial" w:cs="Arial"/>
          <w:szCs w:val="22"/>
        </w:rPr>
      </w:pPr>
      <w:r>
        <w:rPr>
          <w:rFonts w:eastAsia="Arial" w:cs="Arial"/>
          <w:szCs w:val="22"/>
        </w:rPr>
        <w:t>V. - L’article L.712-1 du code de l’énergie est ainsi modifié :</w:t>
      </w:r>
    </w:p>
    <w:p w14:paraId="46F457B1" w14:textId="77777777" w:rsidR="00066E33" w:rsidRDefault="00066E33" w:rsidP="00066E33">
      <w:pPr>
        <w:jc w:val="both"/>
        <w:rPr>
          <w:rFonts w:eastAsia="Arial" w:cs="Arial"/>
          <w:szCs w:val="22"/>
        </w:rPr>
      </w:pPr>
    </w:p>
    <w:p w14:paraId="26D4EC15" w14:textId="77777777" w:rsidR="00066E33" w:rsidRDefault="00066E33" w:rsidP="00066E33">
      <w:pPr>
        <w:numPr>
          <w:ilvl w:val="0"/>
          <w:numId w:val="4"/>
        </w:numPr>
        <w:jc w:val="both"/>
        <w:rPr>
          <w:rFonts w:eastAsia="Arial" w:cs="Arial"/>
          <w:szCs w:val="22"/>
        </w:rPr>
      </w:pPr>
      <w:r>
        <w:rPr>
          <w:rFonts w:eastAsia="Arial" w:cs="Arial"/>
          <w:szCs w:val="22"/>
        </w:rPr>
        <w:t>Après les mots “réseau de distribution de chaleur et de froid” est inséré : “, répondant à la qualification de service public industriel et commercial au sens de l’article L.2224-38 du code général des collectivités territoriales,” ;</w:t>
      </w:r>
    </w:p>
    <w:p w14:paraId="51719FBE" w14:textId="77777777" w:rsidR="00066E33" w:rsidRDefault="00066E33" w:rsidP="00066E33">
      <w:pPr>
        <w:numPr>
          <w:ilvl w:val="0"/>
          <w:numId w:val="4"/>
        </w:numPr>
        <w:jc w:val="both"/>
        <w:rPr>
          <w:rFonts w:eastAsia="Arial" w:cs="Arial"/>
          <w:szCs w:val="22"/>
        </w:rPr>
      </w:pPr>
      <w:r>
        <w:rPr>
          <w:rFonts w:eastAsia="Arial" w:cs="Arial"/>
          <w:szCs w:val="22"/>
        </w:rPr>
        <w:t>Un second alinéa est inséré et rédigé comme suit : “La collectivité ou l’établissement public, compétent en matière de création et d’exploitation d’un réseau public de chaleur ou de froid, peut, à la demande du propriétaire d’un réseau ou de son mandataire, classer un réseau de distribution de chaleur ou de froid, autre que ceux mentionnés au premier alinéa présent article, existant ou à créer situé sur son territoire, lorsqu'il remplit les critères énoncés au premier alinéa du présent article. Ces réseaux font l'objet d'un audit énergétique examinant les possibilités d'amélioration de leur efficacité énergétique. La collectivité territoriale ou l’établissement public compétent peut, par une délibération motivée, décider de ne pas classer ledit réseau. En l’absence de réponse de la collectivité territoriale ou de l’établissement public compétent dans un délai de six mois suivant le dépôt complet et régulier d’une demande de classement, celui-ci est tacitement refusé.”</w:t>
      </w:r>
    </w:p>
    <w:p w14:paraId="0F0A2C1F" w14:textId="77777777" w:rsidR="00066E33" w:rsidRDefault="00066E33" w:rsidP="00066E33">
      <w:pPr>
        <w:jc w:val="both"/>
        <w:rPr>
          <w:rFonts w:eastAsia="Arial" w:cs="Arial"/>
          <w:szCs w:val="22"/>
        </w:rPr>
      </w:pPr>
    </w:p>
    <w:p w14:paraId="144B4A8D" w14:textId="77777777" w:rsidR="00066E33" w:rsidRDefault="00066E33" w:rsidP="00066E33">
      <w:pPr>
        <w:jc w:val="both"/>
        <w:rPr>
          <w:rFonts w:eastAsia="Arial" w:cs="Arial"/>
          <w:szCs w:val="22"/>
        </w:rPr>
      </w:pPr>
    </w:p>
    <w:p w14:paraId="2777B9EC" w14:textId="77777777" w:rsidR="00066E33" w:rsidRPr="00E06323" w:rsidRDefault="00066E33" w:rsidP="00066E33">
      <w:pPr>
        <w:jc w:val="center"/>
        <w:rPr>
          <w:rFonts w:eastAsia="Arial" w:cs="Arial"/>
          <w:b/>
          <w:szCs w:val="22"/>
        </w:rPr>
      </w:pPr>
      <w:r w:rsidRPr="00E06323">
        <w:rPr>
          <w:rFonts w:eastAsia="Arial" w:cs="Arial"/>
          <w:b/>
          <w:szCs w:val="22"/>
        </w:rPr>
        <w:t>Exposé sommaire</w:t>
      </w:r>
    </w:p>
    <w:p w14:paraId="37245D24" w14:textId="77777777" w:rsidR="00066E33" w:rsidRDefault="00066E33" w:rsidP="00066E33">
      <w:pPr>
        <w:jc w:val="both"/>
        <w:rPr>
          <w:rFonts w:eastAsia="Arial" w:cs="Arial"/>
          <w:szCs w:val="22"/>
        </w:rPr>
      </w:pPr>
    </w:p>
    <w:p w14:paraId="0915EFB8" w14:textId="77777777" w:rsidR="00066E33" w:rsidRDefault="00066E33" w:rsidP="00066E33">
      <w:pPr>
        <w:jc w:val="both"/>
        <w:rPr>
          <w:rFonts w:eastAsia="Arial" w:cs="Arial"/>
          <w:szCs w:val="22"/>
        </w:rPr>
      </w:pPr>
      <w:r>
        <w:rPr>
          <w:rFonts w:eastAsia="Arial" w:cs="Arial"/>
          <w:szCs w:val="22"/>
        </w:rPr>
        <w:t>Afin d’atteindre les objectifs de développement de la chaleur et du froid renouvelables livrés par réseaux, fixés par la Loi relative à la Transition Énergétique, la loi Énergie-Climat a inversé la logique du classement des réseaux de chaleur et de froid vertueux en le rendant automatique à compter du 1er janvier 2022.</w:t>
      </w:r>
    </w:p>
    <w:p w14:paraId="299A1DD1" w14:textId="77777777" w:rsidR="00066E33" w:rsidRDefault="00066E33" w:rsidP="00066E33">
      <w:pPr>
        <w:jc w:val="both"/>
        <w:rPr>
          <w:rFonts w:eastAsia="Arial" w:cs="Arial"/>
          <w:szCs w:val="22"/>
        </w:rPr>
      </w:pPr>
    </w:p>
    <w:p w14:paraId="1876A8B4" w14:textId="77777777" w:rsidR="00066E33" w:rsidRDefault="00066E33" w:rsidP="00066E33">
      <w:pPr>
        <w:jc w:val="both"/>
        <w:rPr>
          <w:rFonts w:eastAsia="Arial" w:cs="Arial"/>
          <w:szCs w:val="22"/>
        </w:rPr>
      </w:pPr>
      <w:r>
        <w:rPr>
          <w:rFonts w:eastAsia="Arial" w:cs="Arial"/>
          <w:szCs w:val="22"/>
        </w:rPr>
        <w:t>Le présent amendement a pour objet de consacrer légalement la compétence des collectivités territoriales pour délimiter la zone de développement prioritaire des réseaux ainsi classés, à l’intérieur de laquelle s’applique l’obligation de raccordement. Afin d’assurer l’effectivité du dispositif du classement automatique, la mesure précise les dispositions applicables en l’absence de délibération des collectivités.</w:t>
      </w:r>
    </w:p>
    <w:p w14:paraId="1B32C9B3" w14:textId="77777777" w:rsidR="00066E33" w:rsidRDefault="00066E33" w:rsidP="00066E33">
      <w:pPr>
        <w:spacing w:after="120"/>
        <w:ind w:right="-20"/>
        <w:jc w:val="both"/>
        <w:rPr>
          <w:rFonts w:eastAsia="Arial" w:cs="Arial"/>
          <w:szCs w:val="22"/>
        </w:rPr>
      </w:pPr>
    </w:p>
    <w:p w14:paraId="0670965F" w14:textId="77777777" w:rsidR="00066E33" w:rsidRDefault="00066E33" w:rsidP="00066E33">
      <w:pPr>
        <w:spacing w:after="120"/>
        <w:ind w:right="-20"/>
        <w:jc w:val="both"/>
        <w:rPr>
          <w:rFonts w:eastAsia="Arial" w:cs="Arial"/>
          <w:szCs w:val="22"/>
        </w:rPr>
      </w:pPr>
      <w:r>
        <w:rPr>
          <w:rFonts w:eastAsia="Arial" w:cs="Arial"/>
          <w:szCs w:val="22"/>
        </w:rPr>
        <w:t>Par ailleurs, pour que la compétence des collectivités en matière de réseaux de chaleur et de froid soit complète, il convient de prévoir leur intervention en matière de classement d’un réseau qui ne relèverait pas de leur responsabilité, c’est-à-dire les réseaux privés, quand bien même il serait situé sur son territoire.</w:t>
      </w:r>
    </w:p>
    <w:p w14:paraId="284572C9" w14:textId="77777777" w:rsidR="00066E33" w:rsidRDefault="00066E33" w:rsidP="00066E33">
      <w:pPr>
        <w:spacing w:after="120"/>
        <w:ind w:right="-20"/>
        <w:jc w:val="both"/>
        <w:rPr>
          <w:rFonts w:eastAsia="Arial" w:cs="Arial"/>
          <w:szCs w:val="22"/>
        </w:rPr>
      </w:pPr>
      <w:r>
        <w:rPr>
          <w:rFonts w:eastAsia="Arial" w:cs="Arial"/>
          <w:szCs w:val="22"/>
        </w:rPr>
        <w:lastRenderedPageBreak/>
        <w:t>Dès lors, la deuxième partie de cet amendement vise à maintenir la procédure de demande de classement pour les réseaux, qui ne relèveraient pas de la qualification de service public, adressée à la collectivité compétente par le propriétaire du réseau. La collectivité, dans un délai fixé par le présent amendement, devrait se prononcer sur ledit classement au regard des mêmes critères que pour les réseaux dits “publics”.</w:t>
      </w:r>
    </w:p>
    <w:p w14:paraId="0B514C4F" w14:textId="77777777" w:rsidR="00066E33" w:rsidRDefault="00066E33" w:rsidP="00066E33">
      <w:pPr>
        <w:spacing w:after="120"/>
        <w:ind w:right="-20"/>
        <w:jc w:val="both"/>
        <w:rPr>
          <w:rFonts w:eastAsia="Arial" w:cs="Arial"/>
          <w:szCs w:val="22"/>
        </w:rPr>
      </w:pPr>
    </w:p>
    <w:p w14:paraId="48E92A85" w14:textId="77777777" w:rsidR="00066E33" w:rsidRDefault="00066E33" w:rsidP="00066E33">
      <w:pPr>
        <w:pBdr>
          <w:top w:val="none" w:sz="0" w:space="0" w:color="000000"/>
          <w:left w:val="none" w:sz="0" w:space="0" w:color="000000"/>
          <w:bottom w:val="none" w:sz="0" w:space="0" w:color="000000"/>
          <w:right w:val="none" w:sz="0" w:space="0" w:color="000000"/>
          <w:between w:val="none" w:sz="0" w:space="0" w:color="000000"/>
        </w:pBdr>
        <w:rPr>
          <w:rFonts w:eastAsia="Arial" w:cs="Arial"/>
          <w:szCs w:val="22"/>
        </w:rPr>
      </w:pPr>
      <w:r>
        <w:rPr>
          <w:rFonts w:eastAsia="Arial" w:cs="Arial"/>
          <w:szCs w:val="22"/>
        </w:rPr>
        <w:br w:type="page"/>
      </w:r>
    </w:p>
    <w:p w14:paraId="34111685" w14:textId="66C1AF9A" w:rsidR="00066E33" w:rsidRPr="002D116D" w:rsidRDefault="00066E33" w:rsidP="00066E33">
      <w:pPr>
        <w:pStyle w:val="Sansinterligne"/>
      </w:pPr>
      <w:bookmarkStart w:id="117" w:name="_Toc65513824"/>
      <w:bookmarkStart w:id="118" w:name="_Toc65685031"/>
      <w:bookmarkStart w:id="119" w:name="_Toc65685673"/>
      <w:bookmarkStart w:id="120" w:name="_Toc65687453"/>
      <w:r w:rsidRPr="002D116D">
        <w:lastRenderedPageBreak/>
        <w:t>Amendement n°</w:t>
      </w:r>
      <w:r w:rsidR="00C477A6">
        <w:t>1</w:t>
      </w:r>
      <w:r w:rsidR="006B77C2">
        <w:t>8</w:t>
      </w:r>
      <w:r w:rsidRPr="002D116D">
        <w:t xml:space="preserve"> - Favoriser le raccordement aux réseaux de chaleur et de froid renouvelables</w:t>
      </w:r>
      <w:bookmarkEnd w:id="117"/>
      <w:bookmarkEnd w:id="118"/>
      <w:bookmarkEnd w:id="119"/>
      <w:bookmarkEnd w:id="120"/>
    </w:p>
    <w:p w14:paraId="0E99BCDE" w14:textId="77777777" w:rsidR="00066E33" w:rsidRPr="002D116D" w:rsidRDefault="00066E33" w:rsidP="00066E33">
      <w:pPr>
        <w:rPr>
          <w:rFonts w:cs="Arial"/>
          <w:szCs w:val="22"/>
        </w:rPr>
      </w:pPr>
    </w:p>
    <w:p w14:paraId="3AEF4E3D" w14:textId="77777777" w:rsidR="00066E33" w:rsidRDefault="00066E33" w:rsidP="00066E33">
      <w:pPr>
        <w:jc w:val="center"/>
        <w:rPr>
          <w:rFonts w:eastAsia="Arial" w:cs="Arial"/>
          <w:szCs w:val="22"/>
        </w:rPr>
      </w:pPr>
      <w:r>
        <w:rPr>
          <w:rFonts w:eastAsia="Arial" w:cs="Arial"/>
          <w:szCs w:val="22"/>
        </w:rPr>
        <w:t xml:space="preserve">Présenté par </w:t>
      </w:r>
    </w:p>
    <w:p w14:paraId="09995FD7" w14:textId="77777777" w:rsidR="00066E33" w:rsidRDefault="00066E33" w:rsidP="00066E33">
      <w:pPr>
        <w:jc w:val="center"/>
        <w:rPr>
          <w:rFonts w:eastAsia="Arial" w:cs="Arial"/>
          <w:szCs w:val="22"/>
        </w:rPr>
      </w:pPr>
      <w:r>
        <w:rPr>
          <w:rFonts w:eastAsia="Arial" w:cs="Arial"/>
          <w:szCs w:val="22"/>
        </w:rPr>
        <w:t>…..</w:t>
      </w:r>
    </w:p>
    <w:p w14:paraId="5BFE813D" w14:textId="77777777" w:rsidR="00066E33" w:rsidRDefault="00066E33" w:rsidP="00066E33">
      <w:pPr>
        <w:rPr>
          <w:rFonts w:cs="Arial"/>
          <w:szCs w:val="22"/>
        </w:rPr>
      </w:pPr>
    </w:p>
    <w:p w14:paraId="4DB0DB99" w14:textId="77777777" w:rsidR="00066E33" w:rsidRDefault="00066E33" w:rsidP="00066E33">
      <w:pPr>
        <w:jc w:val="center"/>
        <w:rPr>
          <w:rFonts w:cs="Arial"/>
          <w:szCs w:val="22"/>
        </w:rPr>
      </w:pPr>
      <w:r>
        <w:rPr>
          <w:rFonts w:cs="Arial"/>
          <w:szCs w:val="22"/>
        </w:rPr>
        <w:t>Modifier l’article 22</w:t>
      </w:r>
    </w:p>
    <w:p w14:paraId="14E55FA4" w14:textId="77777777" w:rsidR="00066E33" w:rsidRPr="002D116D" w:rsidRDefault="00066E33" w:rsidP="00066E33">
      <w:pPr>
        <w:rPr>
          <w:rFonts w:cs="Arial"/>
          <w:szCs w:val="22"/>
        </w:rPr>
      </w:pPr>
    </w:p>
    <w:p w14:paraId="3E92CF00" w14:textId="77777777" w:rsidR="00066E33" w:rsidRPr="002D116D" w:rsidRDefault="00066E33" w:rsidP="00066E33">
      <w:pPr>
        <w:rPr>
          <w:rFonts w:cs="Arial"/>
          <w:szCs w:val="22"/>
        </w:rPr>
      </w:pPr>
      <w:r w:rsidRPr="002D116D">
        <w:rPr>
          <w:rFonts w:cs="Arial"/>
          <w:szCs w:val="22"/>
        </w:rPr>
        <w:t>A l’Article 22, insérer un paragraphe additionnel ainsi rédigé :</w:t>
      </w:r>
    </w:p>
    <w:p w14:paraId="211C0439" w14:textId="77777777" w:rsidR="00066E33" w:rsidRPr="002D116D" w:rsidRDefault="00066E33" w:rsidP="00066E33">
      <w:pPr>
        <w:rPr>
          <w:rFonts w:cs="Arial"/>
          <w:szCs w:val="22"/>
        </w:rPr>
      </w:pPr>
    </w:p>
    <w:p w14:paraId="4ADAD4A6" w14:textId="77777777" w:rsidR="00066E33" w:rsidRPr="002D116D" w:rsidRDefault="00066E33" w:rsidP="00066E33">
      <w:pPr>
        <w:rPr>
          <w:rFonts w:cs="Arial"/>
          <w:szCs w:val="22"/>
        </w:rPr>
      </w:pPr>
      <w:r w:rsidRPr="002D116D">
        <w:rPr>
          <w:rFonts w:cs="Arial"/>
          <w:szCs w:val="22"/>
        </w:rPr>
        <w:t xml:space="preserve">VI. – Au point 9° du paragraphe I de l’Article L.100-4 du code de l’énergie, ajouter la phrase suivante : « Pour ce faire, la politique nationale met en place des dispositifs privilégiant, lorsqu'ils sont possibles, les raccordements aux réseaux de chaleur et de froid alimentés majoritairement par des énergies renouvelables et de récupération par rapport aux autres solutions de chauffage et de refroidissement ».  </w:t>
      </w:r>
    </w:p>
    <w:p w14:paraId="481CCB42" w14:textId="77777777" w:rsidR="00066E33" w:rsidRPr="002D116D" w:rsidRDefault="00066E33" w:rsidP="00066E33">
      <w:pPr>
        <w:rPr>
          <w:rFonts w:cs="Arial"/>
          <w:szCs w:val="22"/>
        </w:rPr>
      </w:pPr>
    </w:p>
    <w:p w14:paraId="13AE6C7C" w14:textId="77777777" w:rsidR="00066E33" w:rsidRPr="002D116D" w:rsidRDefault="00066E33" w:rsidP="00066E33">
      <w:pPr>
        <w:jc w:val="center"/>
        <w:rPr>
          <w:rFonts w:cs="Arial"/>
          <w:b/>
          <w:bCs/>
          <w:szCs w:val="22"/>
        </w:rPr>
      </w:pPr>
      <w:r>
        <w:rPr>
          <w:rFonts w:cs="Arial"/>
          <w:b/>
          <w:bCs/>
          <w:szCs w:val="22"/>
        </w:rPr>
        <w:t>Exposé sommaire</w:t>
      </w:r>
    </w:p>
    <w:p w14:paraId="25848BCB" w14:textId="77777777" w:rsidR="00066E33" w:rsidRPr="002D116D" w:rsidRDefault="00066E33" w:rsidP="00066E33">
      <w:pPr>
        <w:rPr>
          <w:rFonts w:cs="Arial"/>
          <w:szCs w:val="22"/>
        </w:rPr>
      </w:pPr>
    </w:p>
    <w:p w14:paraId="68F3ADCE" w14:textId="77777777" w:rsidR="00066E33" w:rsidRPr="002D116D" w:rsidRDefault="00066E33" w:rsidP="00066E33">
      <w:pPr>
        <w:jc w:val="both"/>
        <w:rPr>
          <w:rFonts w:cs="Arial"/>
          <w:szCs w:val="22"/>
        </w:rPr>
      </w:pPr>
      <w:r w:rsidRPr="002D116D">
        <w:rPr>
          <w:rFonts w:cs="Arial"/>
          <w:szCs w:val="22"/>
        </w:rPr>
        <w:t xml:space="preserve">Afin d’atteindre les objectifs de développement de la chaleur et du froid renouvelables livrés par réseaux fixés par la Loi relative à la Transition </w:t>
      </w:r>
      <w:proofErr w:type="spellStart"/>
      <w:r w:rsidRPr="002D116D">
        <w:rPr>
          <w:rFonts w:cs="Arial"/>
          <w:szCs w:val="22"/>
        </w:rPr>
        <w:t>Energétique</w:t>
      </w:r>
      <w:proofErr w:type="spellEnd"/>
      <w:r w:rsidRPr="002D116D">
        <w:rPr>
          <w:rFonts w:cs="Arial"/>
          <w:szCs w:val="22"/>
        </w:rPr>
        <w:t xml:space="preserve"> et la PPE, et en cohérence avec la politique gouvernementale relative à la RE 2020, le présent amendement vise à systématiser le recours à la chaleur renouvelable et ainsi favoriser le raccordement des bâtiments neufs et existants aux réseaux de chaleur et de froid vertueux lorsqu’il est possible.</w:t>
      </w:r>
    </w:p>
    <w:p w14:paraId="675FA77A" w14:textId="77777777" w:rsidR="00066E33" w:rsidRDefault="00066E33" w:rsidP="00066E33">
      <w:pPr>
        <w:spacing w:after="120"/>
        <w:ind w:right="-20"/>
        <w:jc w:val="both"/>
        <w:rPr>
          <w:rFonts w:eastAsia="Arial" w:cs="Arial"/>
          <w:color w:val="6E6E6E"/>
          <w:sz w:val="20"/>
          <w:szCs w:val="20"/>
        </w:rPr>
      </w:pPr>
    </w:p>
    <w:p w14:paraId="5BA8E5E2" w14:textId="77777777" w:rsidR="00066E33" w:rsidRDefault="00066E33" w:rsidP="00066E33">
      <w:pPr>
        <w:jc w:val="both"/>
        <w:rPr>
          <w:rFonts w:eastAsia="Arial" w:cs="Arial"/>
          <w:szCs w:val="22"/>
        </w:rPr>
      </w:pPr>
    </w:p>
    <w:p w14:paraId="798804E3" w14:textId="77777777" w:rsidR="00066E33" w:rsidRDefault="00066E33" w:rsidP="00066E33">
      <w:pPr>
        <w:spacing w:line="276" w:lineRule="auto"/>
        <w:jc w:val="both"/>
        <w:rPr>
          <w:rFonts w:eastAsia="Arial" w:cs="Arial"/>
          <w:szCs w:val="22"/>
        </w:rPr>
      </w:pPr>
      <w:bookmarkStart w:id="121" w:name="_heading=h.b9u7335jw5rd" w:colFirst="0" w:colLast="0"/>
      <w:bookmarkEnd w:id="121"/>
    </w:p>
    <w:p w14:paraId="723066FB" w14:textId="77777777" w:rsidR="00066E33" w:rsidRDefault="00066E33" w:rsidP="00066E33">
      <w:pPr>
        <w:spacing w:after="240" w:line="276" w:lineRule="auto"/>
        <w:jc w:val="both"/>
        <w:rPr>
          <w:rFonts w:eastAsia="Arial" w:cs="Arial"/>
          <w:szCs w:val="22"/>
        </w:rPr>
      </w:pPr>
      <w:bookmarkStart w:id="122" w:name="_heading=h.pm6zorlqe52n" w:colFirst="0" w:colLast="0"/>
      <w:bookmarkEnd w:id="122"/>
      <w:r>
        <w:rPr>
          <w:rFonts w:eastAsia="Arial" w:cs="Arial"/>
          <w:szCs w:val="22"/>
        </w:rPr>
        <w:t xml:space="preserve"> </w:t>
      </w:r>
    </w:p>
    <w:p w14:paraId="45EBA864" w14:textId="77777777" w:rsidR="00066E33" w:rsidRDefault="00066E33" w:rsidP="00066E33">
      <w:pPr>
        <w:jc w:val="both"/>
        <w:rPr>
          <w:rFonts w:eastAsia="Arial" w:cs="Arial"/>
          <w:szCs w:val="22"/>
        </w:rPr>
      </w:pPr>
      <w:bookmarkStart w:id="123" w:name="_heading=h.n6bnjz3kon3c" w:colFirst="0" w:colLast="0"/>
      <w:bookmarkEnd w:id="123"/>
    </w:p>
    <w:p w14:paraId="7CA7CBE2" w14:textId="77777777" w:rsidR="00066E33" w:rsidRDefault="00066E33" w:rsidP="00066E33">
      <w:pPr>
        <w:jc w:val="both"/>
        <w:rPr>
          <w:rFonts w:eastAsia="Arial" w:cs="Arial"/>
          <w:szCs w:val="22"/>
        </w:rPr>
      </w:pPr>
      <w:bookmarkStart w:id="124" w:name="_heading=h.y261gkambbn0" w:colFirst="0" w:colLast="0"/>
      <w:bookmarkEnd w:id="124"/>
    </w:p>
    <w:p w14:paraId="4C4588D9" w14:textId="77777777" w:rsidR="00066E33" w:rsidRDefault="00066E33" w:rsidP="00066E33">
      <w:pPr>
        <w:jc w:val="both"/>
        <w:rPr>
          <w:rFonts w:eastAsia="Arial" w:cs="Arial"/>
          <w:szCs w:val="22"/>
        </w:rPr>
      </w:pPr>
      <w:bookmarkStart w:id="125" w:name="_heading=h.zckzf2wr4gau" w:colFirst="0" w:colLast="0"/>
      <w:bookmarkEnd w:id="125"/>
    </w:p>
    <w:p w14:paraId="229FCE77" w14:textId="77777777" w:rsidR="00066E33" w:rsidRDefault="00066E33" w:rsidP="00066E33">
      <w:pPr>
        <w:jc w:val="both"/>
        <w:rPr>
          <w:rFonts w:eastAsia="Arial" w:cs="Arial"/>
          <w:szCs w:val="22"/>
        </w:rPr>
      </w:pPr>
      <w:bookmarkStart w:id="126" w:name="_heading=h.lslt1v748vj" w:colFirst="0" w:colLast="0"/>
      <w:bookmarkEnd w:id="126"/>
    </w:p>
    <w:p w14:paraId="1AEDB3C1" w14:textId="327C9F6C" w:rsidR="00066E33" w:rsidRDefault="00066E33" w:rsidP="007A6351">
      <w:pPr>
        <w:pStyle w:val="Sansinterligne"/>
        <w:jc w:val="left"/>
        <w:rPr>
          <w:rFonts w:eastAsia="Arial" w:cs="Arial"/>
          <w:szCs w:val="22"/>
        </w:rPr>
      </w:pPr>
      <w:r>
        <w:br w:type="page"/>
      </w:r>
    </w:p>
    <w:p w14:paraId="2C15C35D" w14:textId="0C0435AA" w:rsidR="00066E33" w:rsidRPr="000A5391" w:rsidRDefault="00066E33" w:rsidP="00066E33">
      <w:pPr>
        <w:pStyle w:val="Sansinterligne"/>
      </w:pPr>
      <w:bookmarkStart w:id="127" w:name="_heading=h.30j0zll" w:colFirst="0" w:colLast="0"/>
      <w:bookmarkStart w:id="128" w:name="_Toc65512960"/>
      <w:bookmarkStart w:id="129" w:name="_Toc65685033"/>
      <w:bookmarkStart w:id="130" w:name="_Toc65685675"/>
      <w:bookmarkStart w:id="131" w:name="_Toc65687454"/>
      <w:bookmarkEnd w:id="127"/>
      <w:r>
        <w:lastRenderedPageBreak/>
        <w:t>Amendement n°</w:t>
      </w:r>
      <w:r w:rsidR="00C477A6">
        <w:t>1</w:t>
      </w:r>
      <w:r w:rsidR="006B77C2">
        <w:t>9</w:t>
      </w:r>
      <w:r>
        <w:t xml:space="preserve"> - Traduire dans la loi et dans les territoires les objectifs de réduction de 25 % des prélèvements d’eau d’ici 2034, issus des Assises de l’eau</w:t>
      </w:r>
      <w:bookmarkEnd w:id="128"/>
      <w:bookmarkEnd w:id="129"/>
      <w:bookmarkEnd w:id="130"/>
      <w:bookmarkEnd w:id="131"/>
    </w:p>
    <w:p w14:paraId="59F48EDD" w14:textId="77777777" w:rsidR="00066E33" w:rsidRDefault="00066E33" w:rsidP="00066E33">
      <w:pPr>
        <w:spacing w:line="276" w:lineRule="auto"/>
        <w:jc w:val="center"/>
        <w:rPr>
          <w:rFonts w:eastAsia="Arial" w:cs="Arial"/>
          <w:b/>
          <w:szCs w:val="22"/>
        </w:rPr>
      </w:pPr>
    </w:p>
    <w:p w14:paraId="1619AA73" w14:textId="77777777" w:rsidR="00066E33" w:rsidRDefault="00066E33" w:rsidP="00066E33">
      <w:pPr>
        <w:spacing w:line="276" w:lineRule="auto"/>
        <w:jc w:val="center"/>
        <w:rPr>
          <w:rFonts w:eastAsia="Arial" w:cs="Arial"/>
          <w:szCs w:val="22"/>
        </w:rPr>
      </w:pPr>
      <w:r>
        <w:rPr>
          <w:rFonts w:eastAsia="Arial" w:cs="Arial"/>
          <w:szCs w:val="22"/>
        </w:rPr>
        <w:t>Présenté par</w:t>
      </w:r>
    </w:p>
    <w:p w14:paraId="71ACC269" w14:textId="77777777" w:rsidR="00066E33" w:rsidRDefault="00066E33" w:rsidP="00066E33">
      <w:pPr>
        <w:spacing w:line="276" w:lineRule="auto"/>
        <w:jc w:val="center"/>
        <w:rPr>
          <w:rFonts w:eastAsia="Arial" w:cs="Arial"/>
          <w:szCs w:val="22"/>
        </w:rPr>
      </w:pPr>
      <w:r>
        <w:rPr>
          <w:rFonts w:eastAsia="Arial" w:cs="Arial"/>
          <w:szCs w:val="22"/>
        </w:rPr>
        <w:t>……...</w:t>
      </w:r>
    </w:p>
    <w:p w14:paraId="0BAB1EAC" w14:textId="77777777" w:rsidR="00066E33" w:rsidRDefault="00066E33" w:rsidP="00066E33">
      <w:pPr>
        <w:spacing w:line="276" w:lineRule="auto"/>
        <w:jc w:val="center"/>
        <w:rPr>
          <w:rFonts w:eastAsia="Arial" w:cs="Arial"/>
          <w:szCs w:val="22"/>
        </w:rPr>
      </w:pPr>
    </w:p>
    <w:p w14:paraId="3EC46EF2" w14:textId="77777777" w:rsidR="00066E33" w:rsidRDefault="00066E33" w:rsidP="00066E33">
      <w:pPr>
        <w:spacing w:line="276" w:lineRule="auto"/>
        <w:jc w:val="center"/>
        <w:rPr>
          <w:rFonts w:eastAsia="Arial" w:cs="Arial"/>
          <w:szCs w:val="22"/>
        </w:rPr>
      </w:pPr>
      <w:r>
        <w:rPr>
          <w:rFonts w:eastAsia="Arial" w:cs="Arial"/>
          <w:szCs w:val="22"/>
        </w:rPr>
        <w:t>Article additionnel</w:t>
      </w:r>
    </w:p>
    <w:p w14:paraId="10E1182D" w14:textId="77777777" w:rsidR="00066E33" w:rsidRDefault="00066E33" w:rsidP="00066E33">
      <w:pPr>
        <w:spacing w:line="276" w:lineRule="auto"/>
        <w:jc w:val="center"/>
        <w:rPr>
          <w:rFonts w:eastAsia="Arial" w:cs="Arial"/>
          <w:color w:val="0000FF"/>
          <w:szCs w:val="22"/>
        </w:rPr>
      </w:pPr>
      <w:r>
        <w:rPr>
          <w:rFonts w:eastAsia="Arial" w:cs="Arial"/>
          <w:szCs w:val="22"/>
        </w:rPr>
        <w:t>Après l’article 19, insérer un article supplémentaire ainsi rédigé :</w:t>
      </w:r>
    </w:p>
    <w:p w14:paraId="26693D28" w14:textId="77777777" w:rsidR="00066E33" w:rsidRDefault="00066E33" w:rsidP="00066E33">
      <w:pPr>
        <w:spacing w:line="276" w:lineRule="auto"/>
        <w:jc w:val="both"/>
        <w:rPr>
          <w:rFonts w:eastAsia="Arial" w:cs="Arial"/>
          <w:color w:val="0000FF"/>
          <w:szCs w:val="22"/>
        </w:rPr>
      </w:pPr>
    </w:p>
    <w:p w14:paraId="2E5BF3F6" w14:textId="77777777" w:rsidR="00066E33" w:rsidRDefault="00066E33" w:rsidP="00066E33">
      <w:pPr>
        <w:spacing w:line="276" w:lineRule="auto"/>
        <w:jc w:val="both"/>
        <w:rPr>
          <w:rFonts w:eastAsia="Arial" w:cs="Arial"/>
          <w:szCs w:val="22"/>
        </w:rPr>
      </w:pPr>
      <w:r>
        <w:rPr>
          <w:rFonts w:eastAsia="Arial" w:cs="Arial"/>
          <w:szCs w:val="22"/>
        </w:rPr>
        <w:t>L’</w:t>
      </w:r>
      <w:proofErr w:type="spellStart"/>
      <w:r>
        <w:rPr>
          <w:rFonts w:eastAsia="Arial" w:cs="Arial"/>
          <w:szCs w:val="22"/>
        </w:rPr>
        <w:t>Etat</w:t>
      </w:r>
      <w:proofErr w:type="spellEnd"/>
      <w:r>
        <w:rPr>
          <w:rFonts w:eastAsia="Arial" w:cs="Arial"/>
          <w:szCs w:val="22"/>
        </w:rPr>
        <w:t xml:space="preserve"> rend un rapport 6 mois après la promulgation de la loi sur la stratégie nationale permettant d’atteindre l’objectif de réduction de prélèvements d’eau de 10 % en 5 ans et de 25 % en 15 ans au niveau national issu de la seconde phase des Assises de l’eau en juillet 2019 « un nouveau pacte pour faire face au changement climatique ».</w:t>
      </w:r>
    </w:p>
    <w:p w14:paraId="18AAE256" w14:textId="77777777" w:rsidR="00066E33" w:rsidRDefault="00066E33" w:rsidP="00066E33">
      <w:pPr>
        <w:spacing w:line="276" w:lineRule="auto"/>
        <w:jc w:val="both"/>
        <w:rPr>
          <w:rFonts w:eastAsia="Arial" w:cs="Arial"/>
          <w:szCs w:val="22"/>
        </w:rPr>
      </w:pPr>
    </w:p>
    <w:p w14:paraId="6EB9B908" w14:textId="77777777" w:rsidR="00066E33" w:rsidRDefault="00066E33" w:rsidP="00066E33">
      <w:pPr>
        <w:spacing w:line="276" w:lineRule="auto"/>
        <w:jc w:val="both"/>
        <w:rPr>
          <w:rFonts w:eastAsia="Arial" w:cs="Arial"/>
          <w:szCs w:val="22"/>
        </w:rPr>
      </w:pPr>
      <w:r>
        <w:rPr>
          <w:rFonts w:eastAsia="Arial" w:cs="Arial"/>
          <w:szCs w:val="22"/>
        </w:rPr>
        <w:t>L'</w:t>
      </w:r>
      <w:proofErr w:type="spellStart"/>
      <w:r>
        <w:rPr>
          <w:rFonts w:eastAsia="Arial" w:cs="Arial"/>
          <w:szCs w:val="22"/>
        </w:rPr>
        <w:t>Etat</w:t>
      </w:r>
      <w:proofErr w:type="spellEnd"/>
      <w:r>
        <w:rPr>
          <w:rFonts w:eastAsia="Arial" w:cs="Arial"/>
          <w:szCs w:val="22"/>
        </w:rPr>
        <w:t>, les collectivités territoriales et leurs établissements publics respectifs prennent en compte cette stratégie de réduction des prélèvements d’eau dans leurs documents de planification et de programmation qui ont des incidences significatives sur les consommations d’eau, y compris les documents d’urbanisme.</w:t>
      </w:r>
    </w:p>
    <w:p w14:paraId="65FC6629" w14:textId="77777777" w:rsidR="00066E33" w:rsidRDefault="00066E33" w:rsidP="00066E33">
      <w:pPr>
        <w:spacing w:line="276" w:lineRule="auto"/>
        <w:jc w:val="both"/>
        <w:rPr>
          <w:rFonts w:eastAsia="Arial" w:cs="Arial"/>
          <w:szCs w:val="22"/>
        </w:rPr>
      </w:pPr>
      <w:r>
        <w:rPr>
          <w:rFonts w:eastAsia="Arial" w:cs="Arial"/>
          <w:szCs w:val="22"/>
        </w:rPr>
        <w:t xml:space="preserve"> </w:t>
      </w:r>
    </w:p>
    <w:p w14:paraId="1EE80F49" w14:textId="77777777" w:rsidR="00066E33" w:rsidRDefault="00066E33" w:rsidP="00066E33">
      <w:pPr>
        <w:spacing w:line="276" w:lineRule="auto"/>
        <w:jc w:val="both"/>
        <w:rPr>
          <w:rFonts w:eastAsia="Arial" w:cs="Arial"/>
          <w:szCs w:val="22"/>
        </w:rPr>
      </w:pPr>
      <w:r>
        <w:rPr>
          <w:rFonts w:eastAsia="Arial" w:cs="Arial"/>
          <w:szCs w:val="22"/>
        </w:rPr>
        <w:t>L’atteinte des objectifs est évaluée tous les 5 ans.</w:t>
      </w:r>
    </w:p>
    <w:p w14:paraId="479F1592" w14:textId="77777777" w:rsidR="00066E33" w:rsidRDefault="00066E33" w:rsidP="00066E33">
      <w:pPr>
        <w:spacing w:line="276" w:lineRule="auto"/>
        <w:jc w:val="both"/>
        <w:rPr>
          <w:rFonts w:eastAsia="Arial" w:cs="Arial"/>
          <w:color w:val="0000FF"/>
          <w:szCs w:val="22"/>
        </w:rPr>
      </w:pPr>
    </w:p>
    <w:p w14:paraId="3D0B68C4" w14:textId="77777777" w:rsidR="00066E33" w:rsidRDefault="00066E33" w:rsidP="00066E33">
      <w:pPr>
        <w:spacing w:line="276" w:lineRule="auto"/>
        <w:jc w:val="both"/>
        <w:rPr>
          <w:rFonts w:eastAsia="Arial" w:cs="Arial"/>
          <w:color w:val="0000FF"/>
          <w:szCs w:val="22"/>
        </w:rPr>
      </w:pPr>
    </w:p>
    <w:p w14:paraId="79BF022A" w14:textId="77777777" w:rsidR="00066E33" w:rsidRDefault="00066E33" w:rsidP="00066E33">
      <w:pPr>
        <w:spacing w:line="276" w:lineRule="auto"/>
        <w:jc w:val="center"/>
        <w:rPr>
          <w:rFonts w:eastAsia="Arial" w:cs="Arial"/>
          <w:b/>
          <w:color w:val="0000FF"/>
          <w:szCs w:val="22"/>
          <w:u w:val="single"/>
        </w:rPr>
      </w:pPr>
      <w:r>
        <w:rPr>
          <w:rFonts w:eastAsia="Arial" w:cs="Arial"/>
          <w:b/>
          <w:szCs w:val="22"/>
        </w:rPr>
        <w:t>Exposé sommaire</w:t>
      </w:r>
    </w:p>
    <w:p w14:paraId="2FC2F2BB" w14:textId="77777777" w:rsidR="00066E33" w:rsidRDefault="00066E33" w:rsidP="00066E33">
      <w:pPr>
        <w:spacing w:line="276" w:lineRule="auto"/>
        <w:jc w:val="center"/>
        <w:rPr>
          <w:rFonts w:eastAsia="Arial" w:cs="Arial"/>
          <w:b/>
          <w:color w:val="0000FF"/>
          <w:szCs w:val="22"/>
          <w:u w:val="single"/>
        </w:rPr>
      </w:pPr>
    </w:p>
    <w:p w14:paraId="64E6B1F2" w14:textId="77777777" w:rsidR="00066E33" w:rsidRDefault="00066E33" w:rsidP="00066E33">
      <w:pPr>
        <w:spacing w:line="276" w:lineRule="auto"/>
        <w:jc w:val="both"/>
        <w:rPr>
          <w:rFonts w:eastAsia="Arial" w:cs="Arial"/>
          <w:szCs w:val="22"/>
        </w:rPr>
      </w:pPr>
      <w:r>
        <w:rPr>
          <w:rFonts w:eastAsia="Arial" w:cs="Arial"/>
          <w:szCs w:val="22"/>
        </w:rPr>
        <w:t xml:space="preserve">Entre novembre 2018 et juin 2019, les Assises de l’eau ont permis d’engager une concertation large et inédite avec l’ensemble des acteurs de l’eau : collectivités territoriales, entreprises, organisations professionnelles agricoles, associations de protection de la nature, associations de consommateurs, instituts de recherche, etc. La seconde phase des Assises de l’eau était consacrée à la thématique « changement climatique et ressource en eau : comment les territoires, les écosystèmes et l’ensemble des acteurs </w:t>
      </w:r>
      <w:proofErr w:type="spellStart"/>
      <w:r>
        <w:rPr>
          <w:rFonts w:eastAsia="Arial" w:cs="Arial"/>
          <w:szCs w:val="22"/>
        </w:rPr>
        <w:t>vont-ils</w:t>
      </w:r>
      <w:proofErr w:type="spellEnd"/>
      <w:r>
        <w:rPr>
          <w:rFonts w:eastAsia="Arial" w:cs="Arial"/>
          <w:szCs w:val="22"/>
        </w:rPr>
        <w:t xml:space="preserve"> s’adapter ? » pour répondre à des événements de tensions sur les ressources en eau de plus en plus long est sévère. </w:t>
      </w:r>
    </w:p>
    <w:p w14:paraId="01456BBB" w14:textId="77777777" w:rsidR="00066E33" w:rsidRDefault="00066E33" w:rsidP="00066E33">
      <w:pPr>
        <w:spacing w:line="276" w:lineRule="auto"/>
        <w:jc w:val="both"/>
        <w:rPr>
          <w:rFonts w:eastAsia="Arial" w:cs="Arial"/>
          <w:szCs w:val="22"/>
        </w:rPr>
      </w:pPr>
    </w:p>
    <w:p w14:paraId="5F429E1A" w14:textId="77777777" w:rsidR="00066E33" w:rsidRDefault="00066E33" w:rsidP="00066E33">
      <w:pPr>
        <w:spacing w:line="276" w:lineRule="auto"/>
        <w:jc w:val="both"/>
        <w:rPr>
          <w:rFonts w:eastAsia="Arial" w:cs="Arial"/>
          <w:szCs w:val="22"/>
        </w:rPr>
      </w:pPr>
      <w:r>
        <w:rPr>
          <w:rFonts w:eastAsia="Arial" w:cs="Arial"/>
          <w:szCs w:val="22"/>
        </w:rPr>
        <w:t>L’objectif n°2 des conclusions des Assises de l’eau est de donner la priorité “aux économies d’eau, à la mise en place d’une gestion collective ainsi qu’à des règles de partage”, avec la fixation d’un “objectif de réduction des prélèvements d’eau de 10% en 5 ans et de 25% en 15 ans”.</w:t>
      </w:r>
    </w:p>
    <w:p w14:paraId="19B83BFE" w14:textId="77777777" w:rsidR="00066E33" w:rsidRDefault="00066E33" w:rsidP="00066E33">
      <w:pPr>
        <w:spacing w:line="276" w:lineRule="auto"/>
        <w:jc w:val="both"/>
        <w:rPr>
          <w:rFonts w:eastAsia="Arial" w:cs="Arial"/>
          <w:szCs w:val="22"/>
        </w:rPr>
      </w:pPr>
    </w:p>
    <w:p w14:paraId="4BE23778" w14:textId="77777777" w:rsidR="00066E33" w:rsidRDefault="00066E33" w:rsidP="00066E33">
      <w:pPr>
        <w:spacing w:line="276" w:lineRule="auto"/>
        <w:jc w:val="both"/>
        <w:rPr>
          <w:rFonts w:eastAsia="Arial" w:cs="Arial"/>
          <w:szCs w:val="22"/>
        </w:rPr>
      </w:pPr>
      <w:r>
        <w:rPr>
          <w:rFonts w:eastAsia="Arial" w:cs="Arial"/>
          <w:szCs w:val="22"/>
        </w:rPr>
        <w:t>Cet amendement vise à traduire cette ambition louable et nécessaire dans la loi et à la décliner dans les territoires pour en faciliter la mise en œuvre opérationnelle et en assurer le contrôle et le suivi.</w:t>
      </w:r>
    </w:p>
    <w:p w14:paraId="2F5287E3" w14:textId="4076D946" w:rsidR="00501FB8" w:rsidRDefault="00F63BB8" w:rsidP="00066E33">
      <w:pPr>
        <w:jc w:val="both"/>
        <w:rPr>
          <w:rFonts w:eastAsia="Arial" w:cs="Arial"/>
          <w:b/>
          <w:szCs w:val="22"/>
        </w:rPr>
      </w:pPr>
      <w:r>
        <w:br w:type="page"/>
      </w:r>
    </w:p>
    <w:p w14:paraId="765B9151" w14:textId="389FD297" w:rsidR="00066E33" w:rsidRPr="00066E33" w:rsidRDefault="00801730" w:rsidP="00C477A6">
      <w:pPr>
        <w:pStyle w:val="SECTION"/>
      </w:pPr>
      <w:bookmarkStart w:id="132" w:name="_Toc65513826"/>
      <w:bookmarkStart w:id="133" w:name="_Toc65687455"/>
      <w:r>
        <w:lastRenderedPageBreak/>
        <w:t xml:space="preserve">TITRE </w:t>
      </w:r>
      <w:r w:rsidR="00066E33" w:rsidRPr="00066E33">
        <w:t>IV – SE LOGER</w:t>
      </w:r>
      <w:bookmarkEnd w:id="133"/>
    </w:p>
    <w:p w14:paraId="66871581" w14:textId="77777777" w:rsidR="00066E33" w:rsidRDefault="00066E33" w:rsidP="00066E33">
      <w:pPr>
        <w:pStyle w:val="Sous-Titre2"/>
      </w:pPr>
    </w:p>
    <w:p w14:paraId="3D9C2A14" w14:textId="31E2D80C" w:rsidR="00066E33" w:rsidRPr="00322ADB" w:rsidRDefault="00066E33" w:rsidP="00C477A6">
      <w:pPr>
        <w:pStyle w:val="SOUSTITRE2"/>
      </w:pPr>
      <w:bookmarkStart w:id="134" w:name="_Toc65685676"/>
      <w:bookmarkStart w:id="135" w:name="_Toc65687456"/>
      <w:r>
        <w:t>Chapitre I</w:t>
      </w:r>
      <w:r>
        <w:rPr>
          <w:vertAlign w:val="superscript"/>
        </w:rPr>
        <w:t>er</w:t>
      </w:r>
      <w:r>
        <w:t xml:space="preserve"> – Rénover les bâtiments</w:t>
      </w:r>
      <w:bookmarkEnd w:id="132"/>
      <w:bookmarkEnd w:id="134"/>
      <w:bookmarkEnd w:id="135"/>
    </w:p>
    <w:p w14:paraId="2B0712B7" w14:textId="77777777" w:rsidR="00066E33" w:rsidRDefault="00066E33" w:rsidP="00066E33">
      <w:pPr>
        <w:jc w:val="center"/>
        <w:rPr>
          <w:rFonts w:eastAsia="Arial" w:cs="Arial"/>
          <w:szCs w:val="22"/>
        </w:rPr>
      </w:pPr>
    </w:p>
    <w:p w14:paraId="4965BAF7" w14:textId="77777777" w:rsidR="00066E33" w:rsidRDefault="00066E33" w:rsidP="00066E33">
      <w:pPr>
        <w:jc w:val="center"/>
        <w:rPr>
          <w:rFonts w:eastAsia="Arial" w:cs="Arial"/>
          <w:szCs w:val="22"/>
        </w:rPr>
      </w:pPr>
    </w:p>
    <w:p w14:paraId="5EC27051" w14:textId="75736A88" w:rsidR="00066E33" w:rsidRPr="00E06323" w:rsidRDefault="00066E33" w:rsidP="00066E33">
      <w:pPr>
        <w:pStyle w:val="Sansinterligne"/>
        <w:rPr>
          <w:rFonts w:eastAsia="Arial"/>
        </w:rPr>
      </w:pPr>
      <w:bookmarkStart w:id="136" w:name="_Toc65513827"/>
      <w:bookmarkStart w:id="137" w:name="_Toc65685034"/>
      <w:bookmarkStart w:id="138" w:name="_Toc65685677"/>
      <w:bookmarkStart w:id="139" w:name="_Toc65687457"/>
      <w:r>
        <w:rPr>
          <w:rFonts w:eastAsia="Arial"/>
        </w:rPr>
        <w:t>Amendement n°</w:t>
      </w:r>
      <w:r w:rsidR="006B77C2">
        <w:rPr>
          <w:rFonts w:eastAsia="Arial"/>
        </w:rPr>
        <w:t>20</w:t>
      </w:r>
      <w:r>
        <w:rPr>
          <w:rFonts w:eastAsia="Arial"/>
        </w:rPr>
        <w:t xml:space="preserve"> (Prioritaire) - Rendre obligatoire les rénovations de passoires énergétiques</w:t>
      </w:r>
      <w:bookmarkEnd w:id="136"/>
      <w:bookmarkEnd w:id="137"/>
      <w:bookmarkEnd w:id="138"/>
      <w:bookmarkEnd w:id="139"/>
      <w:r>
        <w:rPr>
          <w:rFonts w:eastAsia="Arial"/>
        </w:rPr>
        <w:t xml:space="preserve"> </w:t>
      </w:r>
    </w:p>
    <w:p w14:paraId="645BC46A" w14:textId="77777777" w:rsidR="00066E33" w:rsidRDefault="00066E33" w:rsidP="00066E33">
      <w:pPr>
        <w:jc w:val="center"/>
        <w:rPr>
          <w:rFonts w:eastAsia="Arial" w:cs="Arial"/>
          <w:szCs w:val="22"/>
        </w:rPr>
      </w:pPr>
    </w:p>
    <w:p w14:paraId="2F8B136A" w14:textId="77777777" w:rsidR="00066E33" w:rsidRDefault="00066E33" w:rsidP="00066E33">
      <w:pPr>
        <w:jc w:val="center"/>
        <w:rPr>
          <w:rFonts w:eastAsia="Arial" w:cs="Arial"/>
          <w:szCs w:val="22"/>
        </w:rPr>
      </w:pPr>
      <w:r>
        <w:rPr>
          <w:rFonts w:eastAsia="Arial" w:cs="Arial"/>
          <w:szCs w:val="22"/>
        </w:rPr>
        <w:t>Présenté par</w:t>
      </w:r>
    </w:p>
    <w:p w14:paraId="05749B7C" w14:textId="77777777" w:rsidR="00066E33" w:rsidRDefault="00066E33" w:rsidP="00066E33">
      <w:pPr>
        <w:jc w:val="center"/>
        <w:rPr>
          <w:rFonts w:eastAsia="Arial" w:cs="Arial"/>
          <w:szCs w:val="22"/>
        </w:rPr>
      </w:pPr>
      <w:r>
        <w:rPr>
          <w:rFonts w:eastAsia="Arial" w:cs="Arial"/>
          <w:szCs w:val="22"/>
        </w:rPr>
        <w:t>……...</w:t>
      </w:r>
    </w:p>
    <w:p w14:paraId="657D8C95" w14:textId="77777777" w:rsidR="00066E33" w:rsidRDefault="00066E33" w:rsidP="00066E33">
      <w:pPr>
        <w:rPr>
          <w:rFonts w:eastAsia="Arial" w:cs="Arial"/>
          <w:szCs w:val="22"/>
        </w:rPr>
      </w:pPr>
      <w:r>
        <w:rPr>
          <w:rFonts w:eastAsia="Arial" w:cs="Arial"/>
          <w:szCs w:val="22"/>
        </w:rPr>
        <w:t xml:space="preserve"> </w:t>
      </w:r>
    </w:p>
    <w:p w14:paraId="1C87143C" w14:textId="77777777" w:rsidR="00066E33" w:rsidRDefault="00066E33" w:rsidP="00066E33">
      <w:pPr>
        <w:jc w:val="center"/>
        <w:rPr>
          <w:rFonts w:eastAsia="Arial" w:cs="Arial"/>
          <w:szCs w:val="22"/>
        </w:rPr>
      </w:pPr>
      <w:r>
        <w:rPr>
          <w:rFonts w:eastAsia="Arial" w:cs="Arial"/>
          <w:szCs w:val="22"/>
        </w:rPr>
        <w:t xml:space="preserve">Article additionnel </w:t>
      </w:r>
    </w:p>
    <w:p w14:paraId="05200F0D" w14:textId="77777777" w:rsidR="00066E33" w:rsidRDefault="00066E33" w:rsidP="00066E33">
      <w:pPr>
        <w:jc w:val="center"/>
        <w:rPr>
          <w:rFonts w:eastAsia="Arial" w:cs="Arial"/>
          <w:szCs w:val="22"/>
        </w:rPr>
      </w:pPr>
      <w:r>
        <w:rPr>
          <w:rFonts w:eastAsia="Arial" w:cs="Arial"/>
          <w:szCs w:val="22"/>
        </w:rPr>
        <w:t>Après l’article 42, insérer un article supplémentaire ainsi rédigé :</w:t>
      </w:r>
    </w:p>
    <w:p w14:paraId="39EE239D" w14:textId="77777777" w:rsidR="00066E33" w:rsidRDefault="00066E33" w:rsidP="00066E33">
      <w:pPr>
        <w:rPr>
          <w:rFonts w:eastAsia="Arial" w:cs="Arial"/>
          <w:b/>
          <w:szCs w:val="22"/>
          <w:u w:val="single"/>
        </w:rPr>
      </w:pPr>
    </w:p>
    <w:p w14:paraId="7FD91938" w14:textId="77777777" w:rsidR="00066E33" w:rsidRDefault="00066E33" w:rsidP="00066E33">
      <w:pPr>
        <w:jc w:val="both"/>
        <w:rPr>
          <w:rFonts w:eastAsia="Arial" w:cs="Arial"/>
          <w:szCs w:val="22"/>
        </w:rPr>
      </w:pPr>
      <w:r>
        <w:rPr>
          <w:rFonts w:eastAsia="Arial" w:cs="Arial"/>
          <w:szCs w:val="22"/>
        </w:rPr>
        <w:t>Après l’article L. 111-10-6 du code de la construction et de l’habitation, insérer un article L.111-10-7 ainsi rédigé :</w:t>
      </w:r>
    </w:p>
    <w:p w14:paraId="46A97BB8" w14:textId="77777777" w:rsidR="00066E33" w:rsidRDefault="00066E33" w:rsidP="00066E33">
      <w:pPr>
        <w:jc w:val="both"/>
        <w:rPr>
          <w:rFonts w:eastAsia="Arial" w:cs="Arial"/>
          <w:szCs w:val="22"/>
        </w:rPr>
      </w:pPr>
    </w:p>
    <w:p w14:paraId="6EFC1DC7" w14:textId="77777777" w:rsidR="00066E33" w:rsidRDefault="00066E33" w:rsidP="00066E33">
      <w:pPr>
        <w:jc w:val="both"/>
        <w:rPr>
          <w:rFonts w:eastAsia="Arial" w:cs="Arial"/>
          <w:szCs w:val="22"/>
        </w:rPr>
      </w:pPr>
      <w:r>
        <w:rPr>
          <w:rFonts w:eastAsia="Arial" w:cs="Arial"/>
          <w:szCs w:val="22"/>
        </w:rPr>
        <w:t xml:space="preserve">« Les bâtiments à usage d’habitation pour lesquels un contrat de location est conclu, renouvelé ou tacitement reconduit après le 1er juillet 2025 et ne répondant pas à un critère de performance énergétique minimale, déterminé selon la méthode du diagnostic de performance énergétique, doivent faire l’objet d’une rénovation énergétique telle que définie à l’article L.111-10 du code de la construction et de l’habitation. </w:t>
      </w:r>
    </w:p>
    <w:p w14:paraId="590F56A0" w14:textId="77777777" w:rsidR="00066E33" w:rsidRDefault="00066E33" w:rsidP="00066E33">
      <w:pPr>
        <w:jc w:val="both"/>
        <w:rPr>
          <w:rFonts w:eastAsia="Arial" w:cs="Arial"/>
          <w:szCs w:val="22"/>
        </w:rPr>
      </w:pPr>
    </w:p>
    <w:p w14:paraId="3C7B115D" w14:textId="77777777" w:rsidR="00066E33" w:rsidRDefault="00066E33" w:rsidP="00066E33">
      <w:pPr>
        <w:jc w:val="both"/>
        <w:rPr>
          <w:rFonts w:eastAsia="Arial" w:cs="Arial"/>
          <w:szCs w:val="22"/>
        </w:rPr>
      </w:pPr>
      <w:r>
        <w:rPr>
          <w:rFonts w:eastAsia="Arial" w:cs="Arial"/>
          <w:szCs w:val="22"/>
        </w:rPr>
        <w:t>II. A compter du 1er janvier 2025, le seuil du critère de performance énergétique minimale mentionné au I est égal ou supérieur à 420 kWh/m².an.</w:t>
      </w:r>
    </w:p>
    <w:p w14:paraId="58560370" w14:textId="77777777" w:rsidR="00066E33" w:rsidRDefault="00066E33" w:rsidP="00066E33">
      <w:pPr>
        <w:jc w:val="both"/>
        <w:rPr>
          <w:rFonts w:eastAsia="Arial" w:cs="Arial"/>
          <w:szCs w:val="22"/>
        </w:rPr>
      </w:pPr>
    </w:p>
    <w:p w14:paraId="76CEB3AE" w14:textId="77777777" w:rsidR="00066E33" w:rsidRDefault="00066E33" w:rsidP="00066E33">
      <w:pPr>
        <w:jc w:val="both"/>
        <w:rPr>
          <w:rFonts w:eastAsia="Arial" w:cs="Arial"/>
          <w:szCs w:val="22"/>
        </w:rPr>
      </w:pPr>
      <w:r>
        <w:rPr>
          <w:rFonts w:eastAsia="Arial" w:cs="Arial"/>
          <w:szCs w:val="22"/>
        </w:rPr>
        <w:t>III. A compter du 1er janvier 2028, le seuil du critère de performance énergétique minimale mentionné au I est égal ou supérieur à 331 kWh/m².an.</w:t>
      </w:r>
    </w:p>
    <w:p w14:paraId="72D00BCD" w14:textId="77777777" w:rsidR="00066E33" w:rsidRDefault="00066E33" w:rsidP="00066E33">
      <w:pPr>
        <w:rPr>
          <w:rFonts w:eastAsia="Arial" w:cs="Arial"/>
          <w:szCs w:val="22"/>
        </w:rPr>
      </w:pPr>
    </w:p>
    <w:p w14:paraId="32619F66" w14:textId="77777777" w:rsidR="00066E33" w:rsidRDefault="00066E33" w:rsidP="00066E33">
      <w:pPr>
        <w:jc w:val="center"/>
        <w:rPr>
          <w:rFonts w:eastAsia="Arial" w:cs="Arial"/>
          <w:szCs w:val="22"/>
        </w:rPr>
      </w:pPr>
    </w:p>
    <w:p w14:paraId="662CE37E" w14:textId="77777777" w:rsidR="00066E33" w:rsidRPr="00E06323" w:rsidRDefault="00066E33" w:rsidP="00066E33">
      <w:pPr>
        <w:jc w:val="center"/>
        <w:rPr>
          <w:rFonts w:eastAsia="Arial" w:cs="Arial"/>
          <w:szCs w:val="22"/>
        </w:rPr>
      </w:pPr>
      <w:r w:rsidRPr="00E06323">
        <w:rPr>
          <w:rFonts w:eastAsia="Arial" w:cs="Arial"/>
          <w:b/>
          <w:szCs w:val="22"/>
        </w:rPr>
        <w:t>Exposé sommaire</w:t>
      </w:r>
    </w:p>
    <w:p w14:paraId="63205800" w14:textId="77777777" w:rsidR="00066E33" w:rsidRDefault="00066E33" w:rsidP="00066E33">
      <w:pPr>
        <w:rPr>
          <w:rFonts w:eastAsia="Arial" w:cs="Arial"/>
          <w:szCs w:val="22"/>
        </w:rPr>
      </w:pPr>
    </w:p>
    <w:p w14:paraId="6ADCE22C" w14:textId="77777777" w:rsidR="00066E33" w:rsidRDefault="00066E33" w:rsidP="00066E33">
      <w:pPr>
        <w:jc w:val="both"/>
        <w:rPr>
          <w:rFonts w:eastAsia="Arial" w:cs="Arial"/>
          <w:szCs w:val="22"/>
          <w:highlight w:val="white"/>
        </w:rPr>
      </w:pPr>
      <w:r w:rsidRPr="00E06323">
        <w:rPr>
          <w:rFonts w:eastAsia="Arial" w:cs="Arial"/>
          <w:szCs w:val="22"/>
          <w:highlight w:val="white"/>
        </w:rPr>
        <w:t>Le secteur du bâtiment représente 45% des consommations énergétiques françaises et un quart des émissions de gaz à effet de serre. Le parc immobilier français comporte 7 à 8 millions de passoires thermiques Cet amendement s’adresse en priorité aux logements de classe F &amp; G, qui sont</w:t>
      </w:r>
      <w:r w:rsidRPr="00E06323">
        <w:rPr>
          <w:rFonts w:eastAsia="Arial" w:cs="Arial"/>
          <w:color w:val="C0504D"/>
          <w:szCs w:val="22"/>
          <w:highlight w:val="white"/>
        </w:rPr>
        <w:t xml:space="preserve"> </w:t>
      </w:r>
      <w:r w:rsidRPr="00E06323">
        <w:rPr>
          <w:rFonts w:eastAsia="Arial" w:cs="Arial"/>
          <w:szCs w:val="22"/>
          <w:highlight w:val="white"/>
        </w:rPr>
        <w:t>les plus énergivores (en moyenne 350 kWh/m</w:t>
      </w:r>
      <w:r w:rsidRPr="00E06323">
        <w:rPr>
          <w:rFonts w:eastAsia="Arial" w:cs="Arial"/>
          <w:szCs w:val="22"/>
          <w:highlight w:val="white"/>
          <w:vertAlign w:val="superscript"/>
        </w:rPr>
        <w:t xml:space="preserve">2 </w:t>
      </w:r>
      <w:r w:rsidRPr="00E06323">
        <w:rPr>
          <w:rFonts w:eastAsia="Arial" w:cs="Arial"/>
          <w:szCs w:val="22"/>
          <w:highlight w:val="white"/>
        </w:rPr>
        <w:t>contre 50 kWh pour le neuf depuis la réglementation thermique de 2012). Cet amendement répond à la demande de la Convention citoyenne visant à “massivement rénover”. L’objectif de cette disposition est donc de lutter contre la précarité énergétique, qui touche actuellement 5,6 millions de ménages français d’après l’Observatoire National de la Prévention Énergétique (ONPE).</w:t>
      </w:r>
    </w:p>
    <w:p w14:paraId="36DD9A96" w14:textId="77777777" w:rsidR="00066E33" w:rsidRPr="00E06323" w:rsidRDefault="00066E33" w:rsidP="00066E33">
      <w:pPr>
        <w:jc w:val="both"/>
        <w:rPr>
          <w:rFonts w:eastAsia="Arial" w:cs="Arial"/>
          <w:szCs w:val="22"/>
          <w:highlight w:val="white"/>
        </w:rPr>
      </w:pPr>
    </w:p>
    <w:p w14:paraId="6E8035D8" w14:textId="77777777" w:rsidR="00066E33" w:rsidRPr="00E06323" w:rsidRDefault="00066E33" w:rsidP="00066E33">
      <w:pPr>
        <w:jc w:val="both"/>
        <w:rPr>
          <w:rFonts w:eastAsia="Arial" w:cs="Arial"/>
          <w:szCs w:val="22"/>
          <w:highlight w:val="white"/>
        </w:rPr>
      </w:pPr>
      <w:r w:rsidRPr="00E06323">
        <w:rPr>
          <w:rFonts w:eastAsia="Arial" w:cs="Arial"/>
          <w:szCs w:val="22"/>
          <w:highlight w:val="white"/>
        </w:rPr>
        <w:t>Ce phénomène, qui a des difficultés à se résorber, concerne les ménages qui éprouvent des difficultés pour chauffer leur logement (ménages dont les dépenses d’énergie dépassent 10% de leurs revenus, ménages contraints de sous chauffer leur logement…). La majorité de ces ménages sont locataires d’après l’ONPE. Par ailleurs, plus de 30% des logements du parc privé français relèvent des catégories F et G dans leur Diagnostic de Performance Énergétique, ce qui représente une consommation supérieure à 330 Kilowattheure d’énergie primaire par an et par mètre carré. Cet amendement vise donc à intégrer un critère de performance énergétique en kilowattheure d’énergie primaire par an dans les critères de définition d’un logement décent, afin de cibler de manière plus précise les logements qui doivent être rénovés pour être loués et le niveau de performance à atteindre. Il ne s’agit pas de retirer du marché locatif des logements en cours de location, mais de générer progressivement la réalisation de travaux d’amélioration dans ces logements, qui sont indispensables pour réduire la précarité énergétique.</w:t>
      </w:r>
    </w:p>
    <w:p w14:paraId="479E9901" w14:textId="77777777" w:rsidR="00066E33" w:rsidRDefault="00066E33" w:rsidP="00066E33">
      <w:pPr>
        <w:jc w:val="both"/>
        <w:rPr>
          <w:rFonts w:eastAsia="Arial" w:cs="Arial"/>
          <w:sz w:val="20"/>
          <w:szCs w:val="20"/>
          <w:highlight w:val="white"/>
        </w:rPr>
      </w:pPr>
    </w:p>
    <w:p w14:paraId="2A6086D1" w14:textId="77777777" w:rsidR="00066E33" w:rsidRDefault="00066E33" w:rsidP="00066E33">
      <w:pPr>
        <w:jc w:val="both"/>
        <w:rPr>
          <w:rFonts w:eastAsia="Arial" w:cs="Arial"/>
          <w:sz w:val="20"/>
          <w:szCs w:val="20"/>
          <w:highlight w:val="white"/>
        </w:rPr>
      </w:pPr>
    </w:p>
    <w:p w14:paraId="5420D664" w14:textId="77777777" w:rsidR="00066E33" w:rsidRDefault="00066E33" w:rsidP="00066E33">
      <w:pPr>
        <w:jc w:val="both"/>
        <w:rPr>
          <w:rFonts w:eastAsia="Arial" w:cs="Arial"/>
          <w:sz w:val="20"/>
          <w:szCs w:val="20"/>
          <w:highlight w:val="white"/>
        </w:rPr>
      </w:pPr>
    </w:p>
    <w:p w14:paraId="0ACDABB3" w14:textId="77777777" w:rsidR="00066E33" w:rsidRDefault="00066E33" w:rsidP="00066E33">
      <w:pPr>
        <w:jc w:val="center"/>
        <w:rPr>
          <w:rFonts w:eastAsia="Arial" w:cs="Arial"/>
          <w:szCs w:val="22"/>
        </w:rPr>
      </w:pPr>
    </w:p>
    <w:p w14:paraId="0F409EB0" w14:textId="6A09D1C4" w:rsidR="00066E33" w:rsidRDefault="00066E33" w:rsidP="00066E33">
      <w:pPr>
        <w:pStyle w:val="Sansinterligne"/>
        <w:rPr>
          <w:rFonts w:eastAsia="Arial"/>
        </w:rPr>
      </w:pPr>
      <w:bookmarkStart w:id="140" w:name="_Toc65513828"/>
      <w:bookmarkStart w:id="141" w:name="_Toc65685035"/>
      <w:bookmarkStart w:id="142" w:name="_Toc65685678"/>
      <w:bookmarkStart w:id="143" w:name="_Toc65687458"/>
      <w:r>
        <w:rPr>
          <w:rFonts w:eastAsia="Arial"/>
        </w:rPr>
        <w:t>Amendement n°</w:t>
      </w:r>
      <w:r w:rsidR="00C477A6">
        <w:rPr>
          <w:rFonts w:eastAsia="Arial"/>
        </w:rPr>
        <w:t>2</w:t>
      </w:r>
      <w:r w:rsidR="006B77C2">
        <w:rPr>
          <w:rFonts w:eastAsia="Arial"/>
        </w:rPr>
        <w:t>1</w:t>
      </w:r>
      <w:r>
        <w:rPr>
          <w:rFonts w:eastAsia="Arial"/>
        </w:rPr>
        <w:t xml:space="preserve"> (Prioritaire) - Soumettre le contenu carbone des différentes énergies de chauffage à l’avis indépendant du Haut Conseil pour le Climat</w:t>
      </w:r>
      <w:bookmarkEnd w:id="140"/>
      <w:bookmarkEnd w:id="141"/>
      <w:bookmarkEnd w:id="142"/>
      <w:bookmarkEnd w:id="143"/>
      <w:r>
        <w:rPr>
          <w:rFonts w:eastAsia="Arial"/>
        </w:rPr>
        <w:t xml:space="preserve"> </w:t>
      </w:r>
    </w:p>
    <w:p w14:paraId="3D14834E" w14:textId="77777777" w:rsidR="00066E33" w:rsidRDefault="00066E33" w:rsidP="00066E33">
      <w:pPr>
        <w:jc w:val="center"/>
        <w:rPr>
          <w:rFonts w:eastAsia="Arial" w:cs="Arial"/>
          <w:szCs w:val="22"/>
        </w:rPr>
      </w:pPr>
    </w:p>
    <w:p w14:paraId="56FE181C" w14:textId="77777777" w:rsidR="00066E33" w:rsidRDefault="00066E33" w:rsidP="00066E33">
      <w:pPr>
        <w:jc w:val="center"/>
        <w:rPr>
          <w:rFonts w:eastAsia="Arial" w:cs="Arial"/>
          <w:szCs w:val="22"/>
        </w:rPr>
      </w:pPr>
      <w:r>
        <w:rPr>
          <w:rFonts w:eastAsia="Arial" w:cs="Arial"/>
          <w:szCs w:val="22"/>
        </w:rPr>
        <w:t>Présenté par</w:t>
      </w:r>
    </w:p>
    <w:p w14:paraId="6CEFBCAA" w14:textId="77777777" w:rsidR="00066E33" w:rsidRDefault="00066E33" w:rsidP="00066E33">
      <w:pPr>
        <w:jc w:val="center"/>
        <w:rPr>
          <w:rFonts w:eastAsia="Arial" w:cs="Arial"/>
          <w:szCs w:val="22"/>
        </w:rPr>
      </w:pPr>
      <w:r>
        <w:rPr>
          <w:rFonts w:eastAsia="Arial" w:cs="Arial"/>
          <w:szCs w:val="22"/>
        </w:rPr>
        <w:t>……...</w:t>
      </w:r>
    </w:p>
    <w:p w14:paraId="4425C570" w14:textId="77777777" w:rsidR="00066E33" w:rsidRDefault="00066E33" w:rsidP="00066E33">
      <w:pPr>
        <w:rPr>
          <w:rFonts w:eastAsia="Arial" w:cs="Arial"/>
          <w:szCs w:val="22"/>
        </w:rPr>
      </w:pPr>
      <w:r>
        <w:rPr>
          <w:rFonts w:eastAsia="Arial" w:cs="Arial"/>
          <w:szCs w:val="22"/>
        </w:rPr>
        <w:t xml:space="preserve"> </w:t>
      </w:r>
    </w:p>
    <w:p w14:paraId="781420F1" w14:textId="77777777" w:rsidR="00066E33" w:rsidRDefault="00066E33" w:rsidP="00066E33">
      <w:pPr>
        <w:jc w:val="center"/>
        <w:rPr>
          <w:rFonts w:eastAsia="Arial" w:cs="Arial"/>
          <w:szCs w:val="22"/>
        </w:rPr>
      </w:pPr>
      <w:r>
        <w:rPr>
          <w:rFonts w:eastAsia="Arial" w:cs="Arial"/>
          <w:szCs w:val="22"/>
        </w:rPr>
        <w:t>Article additionnel</w:t>
      </w:r>
    </w:p>
    <w:p w14:paraId="3740B3CA" w14:textId="77777777" w:rsidR="00066E33" w:rsidRDefault="00066E33" w:rsidP="00066E33">
      <w:pPr>
        <w:jc w:val="center"/>
        <w:rPr>
          <w:rFonts w:eastAsia="Arial" w:cs="Arial"/>
          <w:szCs w:val="22"/>
        </w:rPr>
      </w:pPr>
      <w:r>
        <w:rPr>
          <w:rFonts w:eastAsia="Arial" w:cs="Arial"/>
          <w:szCs w:val="22"/>
        </w:rPr>
        <w:t>Après l’article 39, insérer un article supplémentaire ainsi rédigé :</w:t>
      </w:r>
    </w:p>
    <w:p w14:paraId="483E1823" w14:textId="77777777" w:rsidR="00066E33" w:rsidRDefault="00066E33" w:rsidP="00066E33">
      <w:pPr>
        <w:rPr>
          <w:rFonts w:eastAsia="Arial" w:cs="Arial"/>
          <w:szCs w:val="22"/>
        </w:rPr>
      </w:pPr>
    </w:p>
    <w:p w14:paraId="1130C2B2" w14:textId="77777777" w:rsidR="00066E33" w:rsidRDefault="00066E33" w:rsidP="00066E33">
      <w:pPr>
        <w:jc w:val="both"/>
        <w:rPr>
          <w:rFonts w:eastAsia="Arial" w:cs="Arial"/>
          <w:szCs w:val="22"/>
        </w:rPr>
      </w:pPr>
      <w:r>
        <w:rPr>
          <w:rFonts w:eastAsia="Arial" w:cs="Arial"/>
          <w:szCs w:val="22"/>
        </w:rPr>
        <w:t>Dans un délai de 6 mois après la promulgation de la présente loi, le Haut Conseil pour le Climat rend un avis sur les facteurs d’émission de gaz à effet de serre utilisés comme référence pour chaque source d’énergie de chauffage pour l’ensemble des réglementations applicables à compter du 1er septembre 2021.</w:t>
      </w:r>
    </w:p>
    <w:p w14:paraId="16A9E130" w14:textId="77777777" w:rsidR="00066E33" w:rsidRDefault="00066E33" w:rsidP="00066E33">
      <w:pPr>
        <w:jc w:val="both"/>
        <w:rPr>
          <w:rFonts w:eastAsia="Arial" w:cs="Arial"/>
          <w:szCs w:val="22"/>
        </w:rPr>
      </w:pPr>
    </w:p>
    <w:p w14:paraId="0E309C99" w14:textId="77777777" w:rsidR="00066E33" w:rsidRDefault="00066E33" w:rsidP="00066E33">
      <w:pPr>
        <w:jc w:val="both"/>
        <w:rPr>
          <w:rFonts w:eastAsia="Arial" w:cs="Arial"/>
          <w:szCs w:val="22"/>
        </w:rPr>
      </w:pPr>
      <w:r>
        <w:rPr>
          <w:rFonts w:eastAsia="Arial" w:cs="Arial"/>
          <w:szCs w:val="22"/>
        </w:rPr>
        <w:t>Cet avis vise à analyser les facteurs d’émission de CO</w:t>
      </w:r>
      <w:r>
        <w:rPr>
          <w:rFonts w:eastAsia="Arial" w:cs="Arial"/>
          <w:szCs w:val="22"/>
          <w:vertAlign w:val="subscript"/>
        </w:rPr>
        <w:t>2</w:t>
      </w:r>
      <w:r>
        <w:rPr>
          <w:rFonts w:eastAsia="Arial" w:cs="Arial"/>
          <w:szCs w:val="22"/>
        </w:rPr>
        <w:t xml:space="preserve"> de références utilisés dans les réglementations actuelles et celles qui seront prochainement applicables, à comparer les différentes méthodes de calculs existantes et à formuler des préconisations sur les valeurs de référence à utiliser dans une logique de traitement équitable des différentes solutions de chauffage.</w:t>
      </w:r>
    </w:p>
    <w:p w14:paraId="79F448DC" w14:textId="77777777" w:rsidR="00066E33" w:rsidRDefault="00066E33" w:rsidP="00066E33">
      <w:pPr>
        <w:jc w:val="center"/>
        <w:rPr>
          <w:rFonts w:eastAsia="Arial" w:cs="Arial"/>
          <w:b/>
          <w:szCs w:val="22"/>
        </w:rPr>
      </w:pPr>
    </w:p>
    <w:p w14:paraId="2B9C115D" w14:textId="77777777" w:rsidR="00066E33" w:rsidRDefault="00066E33" w:rsidP="00066E33">
      <w:pPr>
        <w:jc w:val="center"/>
        <w:rPr>
          <w:rFonts w:eastAsia="Arial" w:cs="Arial"/>
          <w:b/>
          <w:szCs w:val="22"/>
        </w:rPr>
      </w:pPr>
      <w:r>
        <w:rPr>
          <w:rFonts w:eastAsia="Arial" w:cs="Arial"/>
          <w:b/>
          <w:szCs w:val="22"/>
        </w:rPr>
        <w:t>Exposé sommaire</w:t>
      </w:r>
    </w:p>
    <w:p w14:paraId="1D52F6ED" w14:textId="77777777" w:rsidR="00066E33" w:rsidRDefault="00066E33" w:rsidP="00066E33">
      <w:pPr>
        <w:pBdr>
          <w:top w:val="none" w:sz="0" w:space="0" w:color="000000"/>
          <w:left w:val="none" w:sz="0" w:space="0" w:color="000000"/>
          <w:bottom w:val="none" w:sz="0" w:space="0" w:color="000000"/>
          <w:right w:val="none" w:sz="0" w:space="0" w:color="000000"/>
          <w:between w:val="none" w:sz="0" w:space="0" w:color="000000"/>
        </w:pBdr>
        <w:rPr>
          <w:rFonts w:eastAsia="Arial" w:cs="Arial"/>
          <w:b/>
          <w:szCs w:val="22"/>
        </w:rPr>
      </w:pPr>
    </w:p>
    <w:p w14:paraId="12D7A948" w14:textId="77777777" w:rsidR="00066E33" w:rsidRDefault="00066E33" w:rsidP="00066E33">
      <w:pPr>
        <w:jc w:val="both"/>
        <w:rPr>
          <w:rFonts w:eastAsia="Arial" w:cs="Arial"/>
          <w:b/>
          <w:szCs w:val="22"/>
        </w:rPr>
      </w:pPr>
      <w:r>
        <w:rPr>
          <w:rFonts w:eastAsia="Arial" w:cs="Arial"/>
          <w:b/>
          <w:szCs w:val="22"/>
        </w:rPr>
        <w:t xml:space="preserve">Cette proposition s’inscrit dans le sens des propositions formulées dans la thématique </w:t>
      </w:r>
      <w:r>
        <w:rPr>
          <w:rFonts w:eastAsia="Arial" w:cs="Arial"/>
          <w:b/>
          <w:i/>
          <w:szCs w:val="22"/>
        </w:rPr>
        <w:t>Se Loger</w:t>
      </w:r>
      <w:r>
        <w:rPr>
          <w:rFonts w:eastAsia="Arial" w:cs="Arial"/>
          <w:b/>
          <w:szCs w:val="22"/>
        </w:rPr>
        <w:t xml:space="preserve"> du rapport final de la Convention citoyenne pour le climat visant à </w:t>
      </w:r>
      <w:r>
        <w:rPr>
          <w:rFonts w:eastAsia="Arial" w:cs="Arial"/>
          <w:b/>
          <w:i/>
          <w:szCs w:val="22"/>
        </w:rPr>
        <w:t>“limiter significativement la consommation d’énergie dans les lieux publics, privés et les industries”</w:t>
      </w:r>
      <w:r>
        <w:rPr>
          <w:rFonts w:eastAsia="Arial" w:cs="Arial"/>
          <w:b/>
          <w:szCs w:val="22"/>
        </w:rPr>
        <w:t xml:space="preserve"> (Famille B).</w:t>
      </w:r>
    </w:p>
    <w:p w14:paraId="7685F80F" w14:textId="77777777" w:rsidR="00066E33" w:rsidRDefault="00066E33" w:rsidP="00066E33">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bookmarkStart w:id="144" w:name="_heading=h.c7uwme5zn1vl" w:colFirst="0" w:colLast="0"/>
      <w:bookmarkEnd w:id="144"/>
    </w:p>
    <w:p w14:paraId="0C8A4D8A" w14:textId="77777777" w:rsidR="00066E33" w:rsidRDefault="00066E33" w:rsidP="00066E33">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bookmarkStart w:id="145" w:name="_heading=h.j92g3wzb3rpf" w:colFirst="0" w:colLast="0"/>
      <w:bookmarkEnd w:id="145"/>
      <w:r>
        <w:rPr>
          <w:rFonts w:eastAsia="Arial" w:cs="Arial"/>
          <w:szCs w:val="22"/>
        </w:rPr>
        <w:t>Le facteur d’émission de gaz à effet de serre ou contenu carbone des énergies est un indicateur déterminant pour l’élaboration des différentes règlementations, notamment pour la construction ou la rénovation des bâtiments. En effet, cet indicateur détermine le contenu en CO</w:t>
      </w:r>
      <w:r>
        <w:rPr>
          <w:rFonts w:eastAsia="Arial" w:cs="Arial"/>
          <w:szCs w:val="22"/>
          <w:vertAlign w:val="subscript"/>
        </w:rPr>
        <w:t xml:space="preserve">2 </w:t>
      </w:r>
      <w:r>
        <w:rPr>
          <w:rFonts w:eastAsia="Arial" w:cs="Arial"/>
          <w:szCs w:val="22"/>
        </w:rPr>
        <w:t>de chaque source d’énergie (charbon, biomasse, gaz, nucléaire, éolien, hydroélectricité, photovoltaïque, géothermie, réseaux de chaleur,) et donne donc une indication sur son impact sur le climat.</w:t>
      </w:r>
    </w:p>
    <w:p w14:paraId="30CD64CD" w14:textId="77777777" w:rsidR="00066E33" w:rsidRDefault="00066E33" w:rsidP="00066E33">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bookmarkStart w:id="146" w:name="_heading=h.60uix1b3w8iu" w:colFirst="0" w:colLast="0"/>
      <w:bookmarkEnd w:id="146"/>
    </w:p>
    <w:p w14:paraId="52A0D2C1" w14:textId="77777777" w:rsidR="00066E33" w:rsidRDefault="00066E33" w:rsidP="00066E33">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bookmarkStart w:id="147" w:name="_heading=h.28rygk86q8qx" w:colFirst="0" w:colLast="0"/>
      <w:bookmarkEnd w:id="147"/>
      <w:r>
        <w:rPr>
          <w:rFonts w:eastAsia="Arial" w:cs="Arial"/>
          <w:szCs w:val="22"/>
        </w:rPr>
        <w:t xml:space="preserve">Bien que la définition des valeurs de références de ce facteur d’émission fassent l’objet de consultations avec diverses parties-prenantes du secteur de l’énergie avec les opérateurs et les services de l’État, les arbitrages réalisés manquent de transparence et ne font l’objet d’aucune analyse par une instance indépendante. </w:t>
      </w:r>
    </w:p>
    <w:p w14:paraId="7EC21E7C" w14:textId="77777777" w:rsidR="00066E33" w:rsidRDefault="00066E33" w:rsidP="00066E33">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bookmarkStart w:id="148" w:name="_heading=h.ybiw9y4bswwu" w:colFirst="0" w:colLast="0"/>
      <w:bookmarkEnd w:id="148"/>
    </w:p>
    <w:p w14:paraId="78187C38" w14:textId="77777777" w:rsidR="00066E33" w:rsidRDefault="00066E33" w:rsidP="00066E33">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bookmarkStart w:id="149" w:name="_heading=h.z6hxi8glpfef" w:colFirst="0" w:colLast="0"/>
      <w:bookmarkEnd w:id="149"/>
      <w:r>
        <w:rPr>
          <w:rFonts w:eastAsia="Arial" w:cs="Arial"/>
          <w:szCs w:val="22"/>
        </w:rPr>
        <w:t>La définition de ces valeurs de référence du contenu en CO</w:t>
      </w:r>
      <w:r>
        <w:rPr>
          <w:rFonts w:eastAsia="Arial" w:cs="Arial"/>
          <w:szCs w:val="22"/>
          <w:vertAlign w:val="subscript"/>
        </w:rPr>
        <w:t xml:space="preserve">2 </w:t>
      </w:r>
      <w:r>
        <w:rPr>
          <w:rFonts w:eastAsia="Arial" w:cs="Arial"/>
          <w:szCs w:val="22"/>
        </w:rPr>
        <w:t>des différentes énergies de chauffage a pourtant une influence déterminante sur le choix des solutions de chauffage privilégiées par les constructeurs de bâtiments neufs, par les collectivités territoriales pour la construction ou la rénovation énergétique de leurs bâtiments publics, ou encore par les copropriétés pour leurs travaux de rénovation énergétique.</w:t>
      </w:r>
    </w:p>
    <w:p w14:paraId="5E62763D" w14:textId="77777777" w:rsidR="00066E33" w:rsidRDefault="00066E33" w:rsidP="00066E33">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bookmarkStart w:id="150" w:name="_heading=h.jxs43zjrcm23" w:colFirst="0" w:colLast="0"/>
      <w:bookmarkEnd w:id="150"/>
    </w:p>
    <w:p w14:paraId="025EF2C8" w14:textId="77777777" w:rsidR="00066E33" w:rsidRDefault="00066E33" w:rsidP="00066E33">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r>
        <w:rPr>
          <w:rFonts w:eastAsia="Arial" w:cs="Arial"/>
          <w:szCs w:val="22"/>
        </w:rPr>
        <w:t>Aussi, pour s’assurer que les valeurs référence des facteurs d’émissions de CO</w:t>
      </w:r>
      <w:r>
        <w:rPr>
          <w:rFonts w:eastAsia="Arial" w:cs="Arial"/>
          <w:szCs w:val="22"/>
          <w:vertAlign w:val="subscript"/>
        </w:rPr>
        <w:t xml:space="preserve">2 </w:t>
      </w:r>
      <w:r>
        <w:rPr>
          <w:rFonts w:eastAsia="Arial" w:cs="Arial"/>
          <w:szCs w:val="22"/>
        </w:rPr>
        <w:t>soient cohérents avec les objectifs de réduction des émissions de gaz à effet de serre prévus par la stratégie nationale bas carbone et la programmation pluriannuelle de l’énergie, cet amendement propose qu’ils soient soumis à l’avis du Haut Conseil pour le Climat. Cet organisme indépendant étant chargé d’émettre des avis et des recommandations sur la mise en œuvre des politiques et des mesures publiques visant à réduire les émissions de gaz à effet de serre de la France, en cohérence avec ses engagements internationaux.</w:t>
      </w:r>
    </w:p>
    <w:p w14:paraId="0F94965C" w14:textId="77777777" w:rsidR="00066E33" w:rsidRDefault="00066E33" w:rsidP="00066E33">
      <w:pPr>
        <w:tabs>
          <w:tab w:val="left" w:pos="1126"/>
        </w:tabs>
        <w:rPr>
          <w:rFonts w:eastAsia="Arial" w:cs="Arial"/>
          <w:szCs w:val="22"/>
        </w:rPr>
      </w:pPr>
    </w:p>
    <w:p w14:paraId="525907A3" w14:textId="77777777" w:rsidR="00066E33" w:rsidRDefault="00066E33" w:rsidP="00066E33">
      <w:pPr>
        <w:tabs>
          <w:tab w:val="left" w:pos="1126"/>
        </w:tabs>
        <w:rPr>
          <w:rFonts w:eastAsia="Arial" w:cs="Arial"/>
          <w:szCs w:val="22"/>
        </w:rPr>
      </w:pPr>
    </w:p>
    <w:p w14:paraId="3C86DC3F" w14:textId="77777777" w:rsidR="00066E33" w:rsidRDefault="00066E33" w:rsidP="00066E33">
      <w:pPr>
        <w:tabs>
          <w:tab w:val="left" w:pos="1126"/>
        </w:tabs>
        <w:rPr>
          <w:rFonts w:eastAsia="Arial" w:cs="Arial"/>
          <w:szCs w:val="22"/>
        </w:rPr>
      </w:pPr>
    </w:p>
    <w:p w14:paraId="1CBC232C" w14:textId="77777777" w:rsidR="00066E33" w:rsidRDefault="00066E33" w:rsidP="00066E33">
      <w:pPr>
        <w:jc w:val="center"/>
        <w:rPr>
          <w:rFonts w:eastAsia="Arial" w:cs="Arial"/>
          <w:szCs w:val="22"/>
        </w:rPr>
      </w:pPr>
    </w:p>
    <w:p w14:paraId="789E10FE" w14:textId="31CE3847" w:rsidR="00066E33" w:rsidRPr="00E06323" w:rsidRDefault="00066E33" w:rsidP="00066E33">
      <w:pPr>
        <w:pStyle w:val="Sansinterligne"/>
        <w:rPr>
          <w:rFonts w:eastAsia="Arial"/>
        </w:rPr>
      </w:pPr>
      <w:bookmarkStart w:id="151" w:name="_Toc65513829"/>
      <w:bookmarkStart w:id="152" w:name="_Toc65685036"/>
      <w:bookmarkStart w:id="153" w:name="_Toc65685679"/>
      <w:bookmarkStart w:id="154" w:name="_Toc65687459"/>
      <w:r w:rsidRPr="00E06323">
        <w:rPr>
          <w:rFonts w:eastAsia="Arial"/>
        </w:rPr>
        <w:t>Amendement n°</w:t>
      </w:r>
      <w:r w:rsidR="00C477A6">
        <w:rPr>
          <w:rFonts w:eastAsia="Arial"/>
        </w:rPr>
        <w:t>2</w:t>
      </w:r>
      <w:r w:rsidR="006B77C2">
        <w:rPr>
          <w:rFonts w:eastAsia="Arial"/>
        </w:rPr>
        <w:t>2</w:t>
      </w:r>
      <w:r>
        <w:rPr>
          <w:rFonts w:eastAsia="Arial"/>
        </w:rPr>
        <w:t xml:space="preserve"> (Prioritaire)</w:t>
      </w:r>
      <w:r w:rsidRPr="00E06323">
        <w:rPr>
          <w:rFonts w:eastAsia="Arial"/>
        </w:rPr>
        <w:t xml:space="preserve"> - Formuler les objectifs nationaux de réduction de consommation d'énergie des bâtiments tertiaires en énergie primaire et finale</w:t>
      </w:r>
      <w:bookmarkEnd w:id="151"/>
      <w:bookmarkEnd w:id="152"/>
      <w:bookmarkEnd w:id="153"/>
      <w:bookmarkEnd w:id="154"/>
    </w:p>
    <w:p w14:paraId="62FEE173" w14:textId="77777777" w:rsidR="00066E33" w:rsidRDefault="00066E33" w:rsidP="00066E33">
      <w:pPr>
        <w:jc w:val="center"/>
        <w:rPr>
          <w:rFonts w:eastAsia="Arial" w:cs="Arial"/>
          <w:szCs w:val="22"/>
        </w:rPr>
      </w:pPr>
    </w:p>
    <w:p w14:paraId="671BD84F" w14:textId="77777777" w:rsidR="00066E33" w:rsidRDefault="00066E33" w:rsidP="00066E33">
      <w:pPr>
        <w:jc w:val="center"/>
        <w:rPr>
          <w:rFonts w:eastAsia="Arial" w:cs="Arial"/>
          <w:szCs w:val="22"/>
        </w:rPr>
      </w:pPr>
      <w:r>
        <w:rPr>
          <w:rFonts w:eastAsia="Arial" w:cs="Arial"/>
          <w:szCs w:val="22"/>
        </w:rPr>
        <w:t>Présenté par</w:t>
      </w:r>
    </w:p>
    <w:p w14:paraId="32463F3E" w14:textId="77777777" w:rsidR="00066E33" w:rsidRDefault="00066E33" w:rsidP="00066E33">
      <w:pPr>
        <w:jc w:val="center"/>
        <w:rPr>
          <w:rFonts w:eastAsia="Arial" w:cs="Arial"/>
          <w:szCs w:val="22"/>
        </w:rPr>
      </w:pPr>
      <w:r>
        <w:rPr>
          <w:rFonts w:eastAsia="Arial" w:cs="Arial"/>
          <w:szCs w:val="22"/>
        </w:rPr>
        <w:t>……...</w:t>
      </w:r>
    </w:p>
    <w:p w14:paraId="4BF5009E" w14:textId="77777777" w:rsidR="00066E33" w:rsidRDefault="00066E33" w:rsidP="00066E33">
      <w:pPr>
        <w:rPr>
          <w:rFonts w:eastAsia="Arial" w:cs="Arial"/>
          <w:szCs w:val="22"/>
        </w:rPr>
      </w:pPr>
      <w:r>
        <w:rPr>
          <w:rFonts w:eastAsia="Arial" w:cs="Arial"/>
          <w:szCs w:val="22"/>
        </w:rPr>
        <w:t xml:space="preserve"> </w:t>
      </w:r>
    </w:p>
    <w:p w14:paraId="11259819" w14:textId="77777777" w:rsidR="00066E33" w:rsidRDefault="00066E33" w:rsidP="00066E33">
      <w:pPr>
        <w:jc w:val="center"/>
        <w:rPr>
          <w:rFonts w:eastAsia="Arial" w:cs="Arial"/>
          <w:szCs w:val="22"/>
        </w:rPr>
      </w:pPr>
      <w:r>
        <w:rPr>
          <w:rFonts w:eastAsia="Arial" w:cs="Arial"/>
          <w:szCs w:val="22"/>
        </w:rPr>
        <w:t>Article additionnel</w:t>
      </w:r>
    </w:p>
    <w:p w14:paraId="6A48C3BB" w14:textId="77777777" w:rsidR="00066E33" w:rsidRDefault="00066E33" w:rsidP="00066E33">
      <w:pPr>
        <w:jc w:val="center"/>
        <w:rPr>
          <w:rFonts w:eastAsia="Arial" w:cs="Arial"/>
          <w:szCs w:val="22"/>
        </w:rPr>
      </w:pPr>
      <w:r>
        <w:rPr>
          <w:rFonts w:eastAsia="Arial" w:cs="Arial"/>
          <w:szCs w:val="22"/>
        </w:rPr>
        <w:t>Après l’article 39, insérer un article supplémentaire ainsi rédigé :</w:t>
      </w:r>
    </w:p>
    <w:p w14:paraId="0489D62C" w14:textId="77777777" w:rsidR="00066E33" w:rsidRDefault="00066E33" w:rsidP="00066E33">
      <w:pPr>
        <w:tabs>
          <w:tab w:val="left" w:pos="1126"/>
        </w:tabs>
        <w:rPr>
          <w:rFonts w:eastAsia="Arial" w:cs="Arial"/>
          <w:szCs w:val="22"/>
        </w:rPr>
      </w:pPr>
    </w:p>
    <w:p w14:paraId="36EA056A" w14:textId="77777777" w:rsidR="00066E33" w:rsidRDefault="00066E33" w:rsidP="00066E33">
      <w:pPr>
        <w:jc w:val="both"/>
        <w:rPr>
          <w:rFonts w:eastAsia="Arial" w:cs="Arial"/>
          <w:szCs w:val="22"/>
        </w:rPr>
      </w:pPr>
      <w:r>
        <w:rPr>
          <w:rFonts w:eastAsia="Arial" w:cs="Arial"/>
          <w:szCs w:val="22"/>
        </w:rPr>
        <w:t>À l’article L. 111-10-3 du code de construction et de l’habitation, à la suite des occurrences “finale” rajouter “et primaire”.</w:t>
      </w:r>
    </w:p>
    <w:p w14:paraId="4ADE8C86" w14:textId="77777777" w:rsidR="00066E33" w:rsidRDefault="00066E33" w:rsidP="00066E33">
      <w:pPr>
        <w:rPr>
          <w:rFonts w:eastAsia="Arial" w:cs="Arial"/>
          <w:szCs w:val="22"/>
        </w:rPr>
      </w:pPr>
    </w:p>
    <w:p w14:paraId="56C1C26D" w14:textId="77777777" w:rsidR="00066E33" w:rsidRDefault="00066E33" w:rsidP="00066E33">
      <w:pPr>
        <w:tabs>
          <w:tab w:val="left" w:pos="1126"/>
        </w:tabs>
        <w:jc w:val="center"/>
        <w:rPr>
          <w:rFonts w:eastAsia="Arial" w:cs="Arial"/>
          <w:b/>
          <w:color w:val="FF0000"/>
          <w:szCs w:val="22"/>
        </w:rPr>
      </w:pPr>
      <w:r>
        <w:rPr>
          <w:rFonts w:eastAsia="Arial" w:cs="Arial"/>
          <w:b/>
          <w:szCs w:val="22"/>
        </w:rPr>
        <w:t>Exposé sommaire</w:t>
      </w:r>
    </w:p>
    <w:p w14:paraId="624CAFF4" w14:textId="77777777" w:rsidR="00066E33" w:rsidRDefault="00066E33" w:rsidP="00066E33">
      <w:pPr>
        <w:jc w:val="both"/>
        <w:rPr>
          <w:rFonts w:eastAsia="Arial" w:cs="Arial"/>
          <w:szCs w:val="22"/>
        </w:rPr>
      </w:pPr>
      <w:bookmarkStart w:id="155" w:name="_heading=h.c7w5behs8e3a" w:colFirst="0" w:colLast="0"/>
      <w:bookmarkEnd w:id="155"/>
    </w:p>
    <w:p w14:paraId="3307141C" w14:textId="77777777" w:rsidR="00066E33" w:rsidRDefault="00066E33" w:rsidP="00066E33">
      <w:pPr>
        <w:jc w:val="both"/>
        <w:rPr>
          <w:rFonts w:eastAsia="Arial" w:cs="Arial"/>
          <w:szCs w:val="22"/>
        </w:rPr>
      </w:pPr>
      <w:bookmarkStart w:id="156" w:name="_heading=h.59vf61qjr1b2" w:colFirst="0" w:colLast="0"/>
      <w:bookmarkEnd w:id="156"/>
      <w:r>
        <w:rPr>
          <w:rFonts w:eastAsia="Arial" w:cs="Arial"/>
          <w:szCs w:val="22"/>
        </w:rPr>
        <w:t xml:space="preserve">La loi française actuelle prévoit une réduction des consommations d'énergie des bâtiments tertiaires exprimées en énergie finale alors que la directive UE 2018/244 du Parlement européen et du Conseil modifiant la directive 2010/31/UE sur la performance énergétique des bâtiments et la directive 2012/27/UE relative à l’efficacité énergétique ne fait référence qu’à “l’énergie primaire” comme indicateur, tant pour les besoins de la certification de la performance énergétique que de la conformité aux exigences minimales en matière de performance énergétique.  </w:t>
      </w:r>
    </w:p>
    <w:p w14:paraId="319B424D" w14:textId="77777777" w:rsidR="00066E33" w:rsidRDefault="00066E33" w:rsidP="00066E33">
      <w:pPr>
        <w:jc w:val="both"/>
        <w:rPr>
          <w:rFonts w:eastAsia="Arial" w:cs="Arial"/>
          <w:szCs w:val="22"/>
        </w:rPr>
      </w:pPr>
      <w:bookmarkStart w:id="157" w:name="_heading=h.bv6o44gk8hzm" w:colFirst="0" w:colLast="0"/>
      <w:bookmarkEnd w:id="157"/>
    </w:p>
    <w:p w14:paraId="2C4B4C6E" w14:textId="77777777" w:rsidR="00066E33" w:rsidRDefault="00066E33" w:rsidP="00066E33">
      <w:pPr>
        <w:jc w:val="both"/>
        <w:rPr>
          <w:rFonts w:eastAsia="Arial" w:cs="Arial"/>
          <w:szCs w:val="22"/>
        </w:rPr>
      </w:pPr>
      <w:bookmarkStart w:id="158" w:name="_heading=h.h5q3dzvbmij0" w:colFirst="0" w:colLast="0"/>
      <w:bookmarkEnd w:id="158"/>
      <w:r>
        <w:rPr>
          <w:rFonts w:eastAsia="Arial" w:cs="Arial"/>
          <w:szCs w:val="22"/>
        </w:rPr>
        <w:t>Cet amendement vise donc à garantir la conformité avec le texte européen.</w:t>
      </w:r>
    </w:p>
    <w:p w14:paraId="5FBFE43D" w14:textId="77777777" w:rsidR="00066E33" w:rsidRDefault="00066E33" w:rsidP="00066E33">
      <w:pPr>
        <w:jc w:val="center"/>
        <w:rPr>
          <w:rFonts w:eastAsia="Arial" w:cs="Arial"/>
          <w:szCs w:val="22"/>
        </w:rPr>
      </w:pPr>
      <w:r>
        <w:br w:type="page"/>
      </w:r>
    </w:p>
    <w:p w14:paraId="5FA3CE8D" w14:textId="0D5E88FD" w:rsidR="00066E33" w:rsidRPr="00322ADB" w:rsidRDefault="00066E33" w:rsidP="00066E33">
      <w:pPr>
        <w:pStyle w:val="Sansinterligne"/>
        <w:rPr>
          <w:rFonts w:eastAsia="Arial"/>
        </w:rPr>
      </w:pPr>
      <w:bookmarkStart w:id="159" w:name="_Toc65513830"/>
      <w:bookmarkStart w:id="160" w:name="_Toc65685037"/>
      <w:bookmarkStart w:id="161" w:name="_Toc65685680"/>
      <w:bookmarkStart w:id="162" w:name="_Toc65687460"/>
      <w:r w:rsidRPr="00322ADB">
        <w:rPr>
          <w:rFonts w:eastAsia="Arial"/>
        </w:rPr>
        <w:lastRenderedPageBreak/>
        <w:t>Amendement n°</w:t>
      </w:r>
      <w:r w:rsidR="00C477A6">
        <w:rPr>
          <w:rFonts w:eastAsia="Arial"/>
        </w:rPr>
        <w:t>2</w:t>
      </w:r>
      <w:r w:rsidR="006B77C2">
        <w:rPr>
          <w:rFonts w:eastAsia="Arial"/>
        </w:rPr>
        <w:t>3</w:t>
      </w:r>
      <w:r>
        <w:rPr>
          <w:rFonts w:eastAsia="Arial"/>
        </w:rPr>
        <w:t xml:space="preserve"> (Prioritaire)</w:t>
      </w:r>
      <w:r w:rsidRPr="00322ADB">
        <w:rPr>
          <w:rFonts w:eastAsia="Arial"/>
        </w:rPr>
        <w:t xml:space="preserve"> - Garantir l’ambition de réduction de consommation d'énergie des bâtiments tertiaires en assurant un traitement équitable des énergies renouvelables</w:t>
      </w:r>
      <w:bookmarkEnd w:id="159"/>
      <w:bookmarkEnd w:id="160"/>
      <w:bookmarkEnd w:id="161"/>
      <w:bookmarkEnd w:id="162"/>
    </w:p>
    <w:p w14:paraId="2A37E19F" w14:textId="77777777" w:rsidR="00066E33" w:rsidRDefault="00066E33" w:rsidP="00066E33">
      <w:pPr>
        <w:jc w:val="center"/>
        <w:rPr>
          <w:rFonts w:eastAsia="Arial" w:cs="Arial"/>
          <w:szCs w:val="22"/>
        </w:rPr>
      </w:pPr>
    </w:p>
    <w:p w14:paraId="3CD767E7" w14:textId="77777777" w:rsidR="00066E33" w:rsidRDefault="00066E33" w:rsidP="00066E33">
      <w:pPr>
        <w:jc w:val="center"/>
        <w:rPr>
          <w:rFonts w:eastAsia="Arial" w:cs="Arial"/>
          <w:szCs w:val="22"/>
        </w:rPr>
      </w:pPr>
      <w:r>
        <w:rPr>
          <w:rFonts w:eastAsia="Arial" w:cs="Arial"/>
          <w:szCs w:val="22"/>
        </w:rPr>
        <w:t>Présenté par</w:t>
      </w:r>
    </w:p>
    <w:p w14:paraId="2EB9EC46" w14:textId="77777777" w:rsidR="00066E33" w:rsidRDefault="00066E33" w:rsidP="00066E33">
      <w:pPr>
        <w:jc w:val="center"/>
        <w:rPr>
          <w:rFonts w:eastAsia="Arial" w:cs="Arial"/>
          <w:szCs w:val="22"/>
        </w:rPr>
      </w:pPr>
      <w:r>
        <w:rPr>
          <w:rFonts w:eastAsia="Arial" w:cs="Arial"/>
          <w:szCs w:val="22"/>
        </w:rPr>
        <w:t>……...</w:t>
      </w:r>
    </w:p>
    <w:p w14:paraId="2DAA0DBA" w14:textId="77777777" w:rsidR="00066E33" w:rsidRDefault="00066E33" w:rsidP="00066E33">
      <w:pPr>
        <w:rPr>
          <w:rFonts w:eastAsia="Arial" w:cs="Arial"/>
          <w:szCs w:val="22"/>
        </w:rPr>
      </w:pPr>
      <w:r>
        <w:rPr>
          <w:rFonts w:eastAsia="Arial" w:cs="Arial"/>
          <w:szCs w:val="22"/>
        </w:rPr>
        <w:t xml:space="preserve"> </w:t>
      </w:r>
    </w:p>
    <w:p w14:paraId="6FDD594E" w14:textId="77777777" w:rsidR="00066E33" w:rsidRDefault="00066E33" w:rsidP="00066E33">
      <w:pPr>
        <w:jc w:val="center"/>
        <w:rPr>
          <w:rFonts w:eastAsia="Arial" w:cs="Arial"/>
          <w:szCs w:val="22"/>
        </w:rPr>
      </w:pPr>
      <w:r>
        <w:rPr>
          <w:rFonts w:eastAsia="Arial" w:cs="Arial"/>
          <w:szCs w:val="22"/>
        </w:rPr>
        <w:t>Article additionnel</w:t>
      </w:r>
    </w:p>
    <w:p w14:paraId="19B80325" w14:textId="77777777" w:rsidR="00066E33" w:rsidRDefault="00066E33" w:rsidP="00066E33">
      <w:pPr>
        <w:jc w:val="center"/>
        <w:rPr>
          <w:rFonts w:eastAsia="Arial" w:cs="Arial"/>
          <w:szCs w:val="22"/>
        </w:rPr>
      </w:pPr>
      <w:r>
        <w:rPr>
          <w:rFonts w:eastAsia="Arial" w:cs="Arial"/>
          <w:szCs w:val="22"/>
        </w:rPr>
        <w:t>Après l’article 39, insérer un article supplémentaire ainsi rédigé :</w:t>
      </w:r>
    </w:p>
    <w:p w14:paraId="435D5505" w14:textId="77777777" w:rsidR="00066E33" w:rsidRDefault="00066E33" w:rsidP="00066E33">
      <w:pPr>
        <w:tabs>
          <w:tab w:val="left" w:pos="1126"/>
        </w:tabs>
        <w:rPr>
          <w:rFonts w:eastAsia="Arial" w:cs="Arial"/>
          <w:szCs w:val="22"/>
        </w:rPr>
      </w:pPr>
    </w:p>
    <w:p w14:paraId="6E936B98" w14:textId="77777777" w:rsidR="00066E33" w:rsidRDefault="00066E33" w:rsidP="00066E33">
      <w:pPr>
        <w:tabs>
          <w:tab w:val="left" w:pos="1126"/>
        </w:tabs>
        <w:rPr>
          <w:rFonts w:eastAsia="Arial" w:cs="Arial"/>
          <w:szCs w:val="22"/>
        </w:rPr>
      </w:pPr>
      <w:r>
        <w:rPr>
          <w:rFonts w:eastAsia="Arial" w:cs="Arial"/>
          <w:szCs w:val="22"/>
        </w:rPr>
        <w:t>Modifié ainsi l’article L111-10-3 du code de construction et de l’habitation :</w:t>
      </w:r>
    </w:p>
    <w:p w14:paraId="28938AB3" w14:textId="77777777" w:rsidR="00066E33" w:rsidRDefault="00066E33" w:rsidP="00066E33">
      <w:pPr>
        <w:tabs>
          <w:tab w:val="left" w:pos="1126"/>
        </w:tabs>
        <w:rPr>
          <w:rFonts w:eastAsia="Arial" w:cs="Arial"/>
          <w:szCs w:val="22"/>
        </w:rPr>
      </w:pPr>
    </w:p>
    <w:p w14:paraId="3F3CBED5" w14:textId="77777777" w:rsidR="00066E33" w:rsidRDefault="00066E33" w:rsidP="00066E33">
      <w:pPr>
        <w:jc w:val="both"/>
        <w:rPr>
          <w:rFonts w:eastAsia="Arial" w:cs="Arial"/>
          <w:szCs w:val="22"/>
        </w:rPr>
      </w:pPr>
      <w:bookmarkStart w:id="163" w:name="_heading=h.bmbibotizgkt" w:colFirst="0" w:colLast="0"/>
      <w:bookmarkEnd w:id="163"/>
      <w:r>
        <w:rPr>
          <w:rFonts w:eastAsia="Arial" w:cs="Arial"/>
          <w:szCs w:val="22"/>
        </w:rPr>
        <w:t>I. À alinéa 10 ajouter la phrase suivante : “La chaleur renouvelable et de récupération livrée par les réseaux peut être déduite de la consommation, contribuant ainsi à atteindre les objectifs”.</w:t>
      </w:r>
    </w:p>
    <w:p w14:paraId="1871C800" w14:textId="77777777" w:rsidR="00066E33" w:rsidRDefault="00066E33" w:rsidP="00066E33">
      <w:pPr>
        <w:jc w:val="both"/>
        <w:rPr>
          <w:rFonts w:eastAsia="Arial" w:cs="Arial"/>
          <w:i/>
          <w:szCs w:val="22"/>
        </w:rPr>
      </w:pPr>
      <w:bookmarkStart w:id="164" w:name="_heading=h.2twguxpbxpln" w:colFirst="0" w:colLast="0"/>
      <w:bookmarkEnd w:id="164"/>
    </w:p>
    <w:p w14:paraId="60125A93" w14:textId="77777777" w:rsidR="00066E33" w:rsidRDefault="00066E33" w:rsidP="00066E33">
      <w:pPr>
        <w:jc w:val="both"/>
        <w:rPr>
          <w:rFonts w:eastAsia="Arial" w:cs="Arial"/>
          <w:szCs w:val="22"/>
        </w:rPr>
      </w:pPr>
      <w:bookmarkStart w:id="165" w:name="_heading=h.231cam1d5d8" w:colFirst="0" w:colLast="0"/>
      <w:bookmarkEnd w:id="165"/>
      <w:r>
        <w:rPr>
          <w:rFonts w:eastAsia="Arial" w:cs="Arial"/>
          <w:szCs w:val="22"/>
        </w:rPr>
        <w:t>II. Après le 7° du III, rajouter un alinéa ainsi rédigé :</w:t>
      </w:r>
    </w:p>
    <w:p w14:paraId="3B29AA8B" w14:textId="77777777" w:rsidR="00066E33" w:rsidRDefault="00066E33" w:rsidP="00066E33">
      <w:pPr>
        <w:jc w:val="both"/>
        <w:rPr>
          <w:rFonts w:eastAsia="Arial" w:cs="Arial"/>
          <w:szCs w:val="22"/>
        </w:rPr>
      </w:pPr>
      <w:bookmarkStart w:id="166" w:name="_heading=h.4rsk8zork6dz" w:colFirst="0" w:colLast="0"/>
      <w:bookmarkEnd w:id="166"/>
      <w:r>
        <w:rPr>
          <w:rFonts w:eastAsia="Arial" w:cs="Arial"/>
          <w:szCs w:val="22"/>
        </w:rPr>
        <w:t>“ 8° une proportion maximale d’économie d’énergie finale réalisée via le changement du système de chauffage. “</w:t>
      </w:r>
      <w:bookmarkStart w:id="167" w:name="_heading=h.wekysqnghs4y" w:colFirst="0" w:colLast="0"/>
      <w:bookmarkStart w:id="168" w:name="_heading=h.o30n64akewab" w:colFirst="0" w:colLast="0"/>
      <w:bookmarkEnd w:id="167"/>
      <w:bookmarkEnd w:id="168"/>
    </w:p>
    <w:p w14:paraId="48807AFA" w14:textId="77777777" w:rsidR="00066E33" w:rsidRDefault="00066E33" w:rsidP="00066E33">
      <w:pPr>
        <w:rPr>
          <w:rFonts w:eastAsia="Arial" w:cs="Arial"/>
          <w:szCs w:val="22"/>
        </w:rPr>
      </w:pPr>
      <w:bookmarkStart w:id="169" w:name="_heading=h.esj4719y2sbl" w:colFirst="0" w:colLast="0"/>
      <w:bookmarkEnd w:id="169"/>
    </w:p>
    <w:p w14:paraId="03FA928E" w14:textId="77777777" w:rsidR="00066E33" w:rsidRDefault="00066E33" w:rsidP="00066E33">
      <w:pPr>
        <w:tabs>
          <w:tab w:val="left" w:pos="1126"/>
        </w:tabs>
        <w:jc w:val="center"/>
        <w:rPr>
          <w:rFonts w:eastAsia="Arial" w:cs="Arial"/>
          <w:b/>
          <w:szCs w:val="22"/>
        </w:rPr>
      </w:pPr>
      <w:r>
        <w:rPr>
          <w:rFonts w:eastAsia="Arial" w:cs="Arial"/>
          <w:b/>
          <w:szCs w:val="22"/>
        </w:rPr>
        <w:t>Exposé sommaire</w:t>
      </w:r>
    </w:p>
    <w:p w14:paraId="3ED4FADF" w14:textId="77777777" w:rsidR="00066E33" w:rsidRDefault="00066E33" w:rsidP="00066E33">
      <w:pPr>
        <w:jc w:val="both"/>
        <w:rPr>
          <w:rFonts w:eastAsia="Arial" w:cs="Arial"/>
          <w:b/>
          <w:color w:val="FF0000"/>
          <w:szCs w:val="22"/>
        </w:rPr>
      </w:pPr>
      <w:bookmarkStart w:id="170" w:name="_heading=h.7hmlfkxfrzf6" w:colFirst="0" w:colLast="0"/>
      <w:bookmarkEnd w:id="170"/>
    </w:p>
    <w:p w14:paraId="0BA91A14" w14:textId="77777777" w:rsidR="00066E33" w:rsidRDefault="00066E33" w:rsidP="00066E33">
      <w:pPr>
        <w:jc w:val="both"/>
        <w:rPr>
          <w:rFonts w:eastAsia="Arial" w:cs="Arial"/>
          <w:szCs w:val="22"/>
        </w:rPr>
      </w:pPr>
      <w:bookmarkStart w:id="171" w:name="_heading=h.uz843qkrs510" w:colFirst="0" w:colLast="0"/>
      <w:bookmarkEnd w:id="171"/>
      <w:r>
        <w:rPr>
          <w:rFonts w:eastAsia="Arial" w:cs="Arial"/>
          <w:szCs w:val="22"/>
        </w:rPr>
        <w:t xml:space="preserve">Des actions de réduction de la consommation d'énergie finale sont mises en œuvre dans les bâtiments, parties de bâtiments ou ensembles de bâtiments à usage tertiaire, définis par décret en Conseil d'État, existants à la date de publication de la loi n° 2018-1021 du 23 novembre 2018 portant évolution du logement, de l'aménagement et du numérique afin de parvenir à une réduction de la consommation d'énergie finale pour l'ensemble des bâtiments soumis à l'obligation d'au moins 40 % en 2030, 50 % en 2040 et 60 % en 2050, par rapport à 2010. Les modalités de calcul basées sur l’énergie finale encouragent mathématiquement les maîtres d’ouvrage et les décideurs à se détourner des réseaux de chaleur vertueux (alimentés majoritairement par des énergies renouvelables et de récupération) pourtant soutenus par le gouvernement et l’ADEME. </w:t>
      </w:r>
    </w:p>
    <w:p w14:paraId="715A154E" w14:textId="77777777" w:rsidR="00066E33" w:rsidRDefault="00066E33" w:rsidP="00066E33">
      <w:pPr>
        <w:spacing w:before="240" w:after="240"/>
        <w:jc w:val="both"/>
        <w:rPr>
          <w:rFonts w:eastAsia="Arial" w:cs="Arial"/>
          <w:szCs w:val="22"/>
        </w:rPr>
      </w:pPr>
      <w:bookmarkStart w:id="172" w:name="_heading=h.wrxugl7oiflr" w:colFirst="0" w:colLast="0"/>
      <w:bookmarkEnd w:id="172"/>
      <w:r>
        <w:rPr>
          <w:rFonts w:eastAsia="Arial" w:cs="Arial"/>
          <w:szCs w:val="22"/>
        </w:rPr>
        <w:t>Déduire la part renouvelable et de récupération de l’énergie livrée par les réseaux de chaleur permettrait de corriger ce biais.</w:t>
      </w:r>
    </w:p>
    <w:p w14:paraId="27F03957" w14:textId="77777777" w:rsidR="00066E33" w:rsidRDefault="00066E33" w:rsidP="00066E33">
      <w:pPr>
        <w:spacing w:before="240" w:after="240"/>
        <w:jc w:val="both"/>
        <w:rPr>
          <w:rFonts w:eastAsia="Arial" w:cs="Arial"/>
          <w:szCs w:val="22"/>
        </w:rPr>
      </w:pPr>
      <w:bookmarkStart w:id="173" w:name="_heading=h.omlumd9my6tr" w:colFirst="0" w:colLast="0"/>
      <w:bookmarkEnd w:id="173"/>
      <w:r>
        <w:rPr>
          <w:rFonts w:eastAsia="Arial" w:cs="Arial"/>
          <w:szCs w:val="22"/>
        </w:rPr>
        <w:t xml:space="preserve">Plafonner la part d’économie d’énergie réalisée par le changement de l’installation de chauffage permettrait ainsi de s’assurer que des actions seront également réalisées par le maître d’ouvrage sur l’enveloppe du bâtiment pour réduire la consommation de chaleur ainsi que sur les autres usages (éclairage, ventilation, usages numériques et </w:t>
      </w:r>
      <w:proofErr w:type="spellStart"/>
      <w:r>
        <w:rPr>
          <w:rFonts w:eastAsia="Arial" w:cs="Arial"/>
          <w:szCs w:val="22"/>
        </w:rPr>
        <w:t>process</w:t>
      </w:r>
      <w:proofErr w:type="spellEnd"/>
      <w:r>
        <w:rPr>
          <w:rFonts w:eastAsia="Arial" w:cs="Arial"/>
          <w:szCs w:val="22"/>
        </w:rPr>
        <w:t>...).</w:t>
      </w:r>
    </w:p>
    <w:p w14:paraId="45D47694" w14:textId="77777777" w:rsidR="00066E33" w:rsidRDefault="00066E33" w:rsidP="00066E33">
      <w:pPr>
        <w:jc w:val="both"/>
        <w:rPr>
          <w:rFonts w:eastAsia="Arial" w:cs="Arial"/>
          <w:szCs w:val="22"/>
        </w:rPr>
      </w:pPr>
      <w:bookmarkStart w:id="174" w:name="_heading=h.u0syi3mh7y9q" w:colFirst="0" w:colLast="0"/>
      <w:bookmarkEnd w:id="174"/>
      <w:r>
        <w:rPr>
          <w:rFonts w:eastAsia="Arial" w:cs="Arial"/>
          <w:szCs w:val="22"/>
        </w:rPr>
        <w:t>Cet amendement vise à s’assurer que le décret tertiaire implique une réelle diminution des besoins en énergie tout en traitant de manière équitable les différents vecteurs de chaleur renouvelable.</w:t>
      </w:r>
    </w:p>
    <w:p w14:paraId="02D5D98C" w14:textId="77777777" w:rsidR="00066E33" w:rsidRDefault="00066E33" w:rsidP="00066E33">
      <w:pPr>
        <w:jc w:val="both"/>
        <w:rPr>
          <w:rFonts w:eastAsia="Arial" w:cs="Arial"/>
          <w:szCs w:val="22"/>
        </w:rPr>
      </w:pPr>
      <w:bookmarkStart w:id="175" w:name="_heading=h.9xwqhp37y4k" w:colFirst="0" w:colLast="0"/>
      <w:bookmarkEnd w:id="175"/>
    </w:p>
    <w:p w14:paraId="610771CD" w14:textId="77777777" w:rsidR="00066E33" w:rsidRDefault="00066E33" w:rsidP="00066E33">
      <w:pPr>
        <w:jc w:val="both"/>
        <w:rPr>
          <w:rFonts w:eastAsia="Arial" w:cs="Arial"/>
          <w:szCs w:val="22"/>
        </w:rPr>
      </w:pPr>
      <w:bookmarkStart w:id="176" w:name="_heading=h.7ui32ihwsiqp" w:colFirst="0" w:colLast="0"/>
      <w:bookmarkEnd w:id="176"/>
    </w:p>
    <w:p w14:paraId="75A5AA2D" w14:textId="77777777" w:rsidR="00066E33" w:rsidRDefault="00066E33" w:rsidP="00066E33">
      <w:pPr>
        <w:jc w:val="both"/>
        <w:rPr>
          <w:rFonts w:eastAsia="Arial" w:cs="Arial"/>
          <w:szCs w:val="22"/>
        </w:rPr>
      </w:pPr>
      <w:bookmarkStart w:id="177" w:name="_heading=h.oy8v7hk9f90e" w:colFirst="0" w:colLast="0"/>
      <w:bookmarkEnd w:id="177"/>
    </w:p>
    <w:p w14:paraId="6F7E75FC" w14:textId="77777777" w:rsidR="00066E33" w:rsidRDefault="00066E33" w:rsidP="00066E33">
      <w:pPr>
        <w:jc w:val="center"/>
        <w:rPr>
          <w:rFonts w:eastAsia="Arial" w:cs="Arial"/>
          <w:szCs w:val="22"/>
        </w:rPr>
      </w:pPr>
      <w:r>
        <w:rPr>
          <w:rFonts w:eastAsia="Arial" w:cs="Arial"/>
          <w:szCs w:val="22"/>
        </w:rPr>
        <w:t xml:space="preserve"> </w:t>
      </w:r>
    </w:p>
    <w:p w14:paraId="61812547" w14:textId="77777777" w:rsidR="00066E33" w:rsidRDefault="00066E33" w:rsidP="00066E33">
      <w:pPr>
        <w:jc w:val="center"/>
        <w:rPr>
          <w:rFonts w:eastAsia="Arial" w:cs="Arial"/>
          <w:szCs w:val="22"/>
        </w:rPr>
      </w:pPr>
      <w:r>
        <w:br w:type="page"/>
      </w:r>
    </w:p>
    <w:p w14:paraId="328001D1" w14:textId="77777777" w:rsidR="00066E33" w:rsidRDefault="00066E33" w:rsidP="00066E33">
      <w:pPr>
        <w:jc w:val="both"/>
        <w:rPr>
          <w:rFonts w:eastAsia="Arial" w:cs="Arial"/>
          <w:szCs w:val="22"/>
        </w:rPr>
      </w:pPr>
      <w:bookmarkStart w:id="178" w:name="_heading=h.oad94uihxbz9" w:colFirst="0" w:colLast="0"/>
      <w:bookmarkEnd w:id="178"/>
    </w:p>
    <w:p w14:paraId="73D26D6A" w14:textId="77777777" w:rsidR="00066E33" w:rsidRDefault="00066E33" w:rsidP="00066E33">
      <w:pPr>
        <w:jc w:val="both"/>
        <w:rPr>
          <w:rFonts w:eastAsia="Arial" w:cs="Arial"/>
          <w:szCs w:val="22"/>
        </w:rPr>
      </w:pPr>
      <w:bookmarkStart w:id="179" w:name="_heading=h.sbmk3zsinj2i" w:colFirst="0" w:colLast="0"/>
      <w:bookmarkEnd w:id="179"/>
    </w:p>
    <w:p w14:paraId="6ABC6814" w14:textId="43CBFD59" w:rsidR="00066E33" w:rsidRPr="00322ADB" w:rsidRDefault="00066E33" w:rsidP="00066E33">
      <w:pPr>
        <w:pStyle w:val="Sansinterligne"/>
        <w:rPr>
          <w:rFonts w:eastAsia="Arial"/>
        </w:rPr>
      </w:pPr>
      <w:bookmarkStart w:id="180" w:name="_Toc65513831"/>
      <w:bookmarkStart w:id="181" w:name="_Toc65685038"/>
      <w:bookmarkStart w:id="182" w:name="_Toc65685681"/>
      <w:bookmarkStart w:id="183" w:name="_Toc65687461"/>
      <w:r w:rsidRPr="00322ADB">
        <w:rPr>
          <w:rFonts w:eastAsia="Arial"/>
        </w:rPr>
        <w:t>Amendement n°</w:t>
      </w:r>
      <w:r w:rsidR="00C477A6">
        <w:rPr>
          <w:rFonts w:eastAsia="Arial"/>
        </w:rPr>
        <w:t>2</w:t>
      </w:r>
      <w:r w:rsidR="006B77C2">
        <w:rPr>
          <w:rFonts w:eastAsia="Arial"/>
        </w:rPr>
        <w:t>4</w:t>
      </w:r>
      <w:r w:rsidRPr="00322ADB">
        <w:rPr>
          <w:rFonts w:eastAsia="Arial"/>
        </w:rPr>
        <w:t xml:space="preserve"> (Prioritaire) - Créer une expérimentation pour faciliter le repérage des ménages en situation de précarité énergétique</w:t>
      </w:r>
      <w:bookmarkEnd w:id="180"/>
      <w:bookmarkEnd w:id="181"/>
      <w:bookmarkEnd w:id="182"/>
      <w:bookmarkEnd w:id="183"/>
    </w:p>
    <w:p w14:paraId="58F1A8BF" w14:textId="77777777" w:rsidR="00066E33" w:rsidRDefault="00066E33" w:rsidP="00066E33">
      <w:pPr>
        <w:jc w:val="center"/>
        <w:rPr>
          <w:rFonts w:eastAsia="Arial" w:cs="Arial"/>
          <w:szCs w:val="22"/>
        </w:rPr>
      </w:pPr>
    </w:p>
    <w:p w14:paraId="49E38D4A" w14:textId="77777777" w:rsidR="00066E33" w:rsidRDefault="00066E33" w:rsidP="00066E33">
      <w:pPr>
        <w:jc w:val="center"/>
        <w:rPr>
          <w:rFonts w:eastAsia="Arial" w:cs="Arial"/>
          <w:szCs w:val="22"/>
        </w:rPr>
      </w:pPr>
      <w:r>
        <w:rPr>
          <w:rFonts w:eastAsia="Arial" w:cs="Arial"/>
          <w:szCs w:val="22"/>
        </w:rPr>
        <w:t>Présenté par</w:t>
      </w:r>
    </w:p>
    <w:p w14:paraId="39B02AEC" w14:textId="77777777" w:rsidR="00066E33" w:rsidRDefault="00066E33" w:rsidP="00066E33">
      <w:pPr>
        <w:jc w:val="center"/>
        <w:rPr>
          <w:rFonts w:eastAsia="Arial" w:cs="Arial"/>
          <w:szCs w:val="22"/>
        </w:rPr>
      </w:pPr>
      <w:r>
        <w:rPr>
          <w:rFonts w:eastAsia="Arial" w:cs="Arial"/>
          <w:szCs w:val="22"/>
        </w:rPr>
        <w:t>……...</w:t>
      </w:r>
    </w:p>
    <w:p w14:paraId="366B6DD0" w14:textId="77777777" w:rsidR="00066E33" w:rsidRDefault="00066E33" w:rsidP="00066E33">
      <w:pPr>
        <w:rPr>
          <w:rFonts w:eastAsia="Arial" w:cs="Arial"/>
          <w:szCs w:val="22"/>
        </w:rPr>
      </w:pPr>
      <w:r>
        <w:rPr>
          <w:rFonts w:eastAsia="Arial" w:cs="Arial"/>
          <w:szCs w:val="22"/>
        </w:rPr>
        <w:t xml:space="preserve"> </w:t>
      </w:r>
    </w:p>
    <w:p w14:paraId="52608261" w14:textId="77777777" w:rsidR="00066E33" w:rsidRDefault="00066E33" w:rsidP="00066E33">
      <w:pPr>
        <w:jc w:val="center"/>
        <w:rPr>
          <w:rFonts w:eastAsia="Arial" w:cs="Arial"/>
          <w:szCs w:val="22"/>
        </w:rPr>
      </w:pPr>
      <w:r>
        <w:rPr>
          <w:rFonts w:eastAsia="Arial" w:cs="Arial"/>
          <w:szCs w:val="22"/>
        </w:rPr>
        <w:t xml:space="preserve">Article additionnel </w:t>
      </w:r>
    </w:p>
    <w:p w14:paraId="5B769775" w14:textId="77777777" w:rsidR="00066E33" w:rsidRDefault="00066E33" w:rsidP="00066E33">
      <w:pPr>
        <w:jc w:val="center"/>
        <w:rPr>
          <w:rFonts w:eastAsia="Arial" w:cs="Arial"/>
          <w:szCs w:val="22"/>
        </w:rPr>
      </w:pPr>
      <w:r>
        <w:rPr>
          <w:rFonts w:eastAsia="Arial" w:cs="Arial"/>
          <w:szCs w:val="22"/>
        </w:rPr>
        <w:t xml:space="preserve">Après l’article 43, insérer un article supplémentaire ainsi rédigé : </w:t>
      </w:r>
    </w:p>
    <w:p w14:paraId="6F9D43A2" w14:textId="77777777" w:rsidR="00066E33" w:rsidRDefault="00066E33" w:rsidP="00066E33">
      <w:pPr>
        <w:rPr>
          <w:rFonts w:eastAsia="Arial" w:cs="Arial"/>
          <w:szCs w:val="22"/>
        </w:rPr>
      </w:pPr>
    </w:p>
    <w:p w14:paraId="7F389FC6" w14:textId="77777777" w:rsidR="00066E33" w:rsidRDefault="00066E33" w:rsidP="00066E33">
      <w:pPr>
        <w:jc w:val="both"/>
        <w:rPr>
          <w:rFonts w:eastAsia="Arial" w:cs="Arial"/>
          <w:szCs w:val="22"/>
        </w:rPr>
      </w:pPr>
      <w:r>
        <w:rPr>
          <w:rFonts w:eastAsia="Arial" w:cs="Arial"/>
          <w:szCs w:val="22"/>
        </w:rPr>
        <w:t>“En application de l’article 72 de la Constitution, une expérimentation est engagée pour une durée de cinq années à compter de la date de promulgation de la présente loi en vue de permettre le repérage des ménages en situation de précarité énergétique.</w:t>
      </w:r>
    </w:p>
    <w:p w14:paraId="3A566DEF" w14:textId="77777777" w:rsidR="00066E33" w:rsidRDefault="00066E33" w:rsidP="00066E33">
      <w:pPr>
        <w:jc w:val="both"/>
        <w:rPr>
          <w:rFonts w:eastAsia="Arial" w:cs="Arial"/>
          <w:szCs w:val="22"/>
        </w:rPr>
      </w:pPr>
    </w:p>
    <w:p w14:paraId="20C43F2B" w14:textId="77777777" w:rsidR="00066E33" w:rsidRDefault="00066E33" w:rsidP="00066E33">
      <w:pPr>
        <w:jc w:val="both"/>
        <w:rPr>
          <w:rFonts w:eastAsia="Arial" w:cs="Arial"/>
          <w:szCs w:val="22"/>
        </w:rPr>
      </w:pPr>
      <w:r>
        <w:rPr>
          <w:rFonts w:eastAsia="Arial" w:cs="Arial"/>
          <w:szCs w:val="22"/>
        </w:rPr>
        <w:t>Les organismes de sécurité sociale et ceux chargés de gérer l'aide au logement et l'aide sociale, les fournisseurs et distributeurs d’énergie ainsi que les services fiscaux fournissent aux services chargés de la mise en œuvre de ces mesures les données nécessaires pour identifier les ménages en situation de précarité énergétique, la Commission nationale de l'informatique et des libertés étant préalablement consultée en application de la loi n° 78-17 du 6 janvier 1978 relative à l'informatique, aux fichiers et aux libertés.”</w:t>
      </w:r>
    </w:p>
    <w:p w14:paraId="23B82A31" w14:textId="77777777" w:rsidR="00066E33" w:rsidRDefault="00066E33" w:rsidP="00066E33">
      <w:pPr>
        <w:jc w:val="center"/>
        <w:rPr>
          <w:rFonts w:eastAsia="Arial" w:cs="Arial"/>
          <w:b/>
          <w:szCs w:val="22"/>
        </w:rPr>
      </w:pPr>
    </w:p>
    <w:p w14:paraId="6B375DE9" w14:textId="77777777" w:rsidR="00066E33" w:rsidRPr="00322ADB" w:rsidRDefault="00066E33" w:rsidP="00066E33">
      <w:pPr>
        <w:jc w:val="center"/>
        <w:rPr>
          <w:rFonts w:eastAsia="Arial" w:cs="Arial"/>
          <w:b/>
          <w:szCs w:val="22"/>
        </w:rPr>
      </w:pPr>
      <w:r w:rsidRPr="00322ADB">
        <w:rPr>
          <w:rFonts w:eastAsia="Arial" w:cs="Arial"/>
          <w:b/>
          <w:szCs w:val="22"/>
        </w:rPr>
        <w:t>Exposé sommaire</w:t>
      </w:r>
    </w:p>
    <w:p w14:paraId="461A91C1" w14:textId="77777777" w:rsidR="00066E33" w:rsidRDefault="00066E33" w:rsidP="00066E33">
      <w:pPr>
        <w:rPr>
          <w:rFonts w:eastAsia="Arial" w:cs="Arial"/>
          <w:b/>
          <w:szCs w:val="22"/>
        </w:rPr>
      </w:pPr>
      <w:bookmarkStart w:id="184" w:name="_heading=h.g95bg8dyc1gf" w:colFirst="0" w:colLast="0"/>
      <w:bookmarkEnd w:id="184"/>
    </w:p>
    <w:p w14:paraId="0456785A" w14:textId="77777777" w:rsidR="00066E33" w:rsidRDefault="00066E33" w:rsidP="00066E33">
      <w:pPr>
        <w:jc w:val="both"/>
        <w:rPr>
          <w:rFonts w:eastAsia="Arial" w:cs="Arial"/>
          <w:szCs w:val="22"/>
        </w:rPr>
      </w:pPr>
      <w:bookmarkStart w:id="185" w:name="_heading=h.x791v9r8amro" w:colFirst="0" w:colLast="0"/>
      <w:bookmarkEnd w:id="185"/>
      <w:r>
        <w:rPr>
          <w:rFonts w:eastAsia="Arial" w:cs="Arial"/>
          <w:b/>
          <w:szCs w:val="22"/>
        </w:rPr>
        <w:t xml:space="preserve">Cette proposition s’inscrit dans le sens des propositions formulées dans la thématique </w:t>
      </w:r>
      <w:r>
        <w:rPr>
          <w:rFonts w:eastAsia="Arial" w:cs="Arial"/>
          <w:b/>
          <w:i/>
          <w:szCs w:val="22"/>
        </w:rPr>
        <w:t>Se Loger</w:t>
      </w:r>
      <w:r>
        <w:rPr>
          <w:rFonts w:eastAsia="Arial" w:cs="Arial"/>
          <w:b/>
          <w:szCs w:val="22"/>
        </w:rPr>
        <w:t xml:space="preserve"> du rapport final de la Convention citoyenne pour le climat visant à massifier la rénovation énergétique des logements “</w:t>
      </w:r>
      <w:r>
        <w:rPr>
          <w:rFonts w:eastAsia="Arial" w:cs="Arial"/>
          <w:b/>
          <w:i/>
          <w:szCs w:val="22"/>
        </w:rPr>
        <w:t>dans un esprit de justice sociale</w:t>
      </w:r>
      <w:r>
        <w:rPr>
          <w:rFonts w:eastAsia="Arial" w:cs="Arial"/>
          <w:b/>
          <w:szCs w:val="22"/>
        </w:rPr>
        <w:t>”, par “</w:t>
      </w:r>
      <w:r>
        <w:rPr>
          <w:rFonts w:eastAsia="Arial" w:cs="Arial"/>
          <w:b/>
          <w:i/>
          <w:szCs w:val="22"/>
        </w:rPr>
        <w:t>des mesures d’accompagnement en particulier pour les classes moyennes et les ménages modestes et très modestes</w:t>
      </w:r>
      <w:r>
        <w:rPr>
          <w:rFonts w:eastAsia="Arial" w:cs="Arial"/>
          <w:b/>
          <w:szCs w:val="22"/>
        </w:rPr>
        <w:t>”.</w:t>
      </w:r>
    </w:p>
    <w:p w14:paraId="0453C301" w14:textId="77777777" w:rsidR="00066E33" w:rsidRDefault="00066E33" w:rsidP="00066E33">
      <w:pPr>
        <w:jc w:val="both"/>
        <w:rPr>
          <w:rFonts w:eastAsia="Arial" w:cs="Arial"/>
          <w:szCs w:val="22"/>
        </w:rPr>
      </w:pPr>
      <w:bookmarkStart w:id="186" w:name="_heading=h.uofd07qwz61f" w:colFirst="0" w:colLast="0"/>
      <w:bookmarkEnd w:id="186"/>
    </w:p>
    <w:p w14:paraId="1C6CBA95" w14:textId="77777777" w:rsidR="00066E33" w:rsidRDefault="00066E33" w:rsidP="00066E33">
      <w:pPr>
        <w:jc w:val="both"/>
        <w:rPr>
          <w:rFonts w:eastAsia="Arial" w:cs="Arial"/>
          <w:szCs w:val="22"/>
        </w:rPr>
      </w:pPr>
      <w:bookmarkStart w:id="187" w:name="_heading=h.8rl3gcl57873" w:colFirst="0" w:colLast="0"/>
      <w:bookmarkEnd w:id="187"/>
      <w:r>
        <w:rPr>
          <w:rFonts w:eastAsia="Arial" w:cs="Arial"/>
          <w:szCs w:val="22"/>
        </w:rPr>
        <w:t xml:space="preserve">Selon l’Observatoire national de la précarité énergétique (ONPE), 14% des Français déclarent avoir souffert du froid au cours de l’hiver 2019. Pour 4 ménages sur 10, c’est à cause d’une mauvaise isolation thermique de leur logement. Plus d’un Français sur 10 </w:t>
      </w:r>
      <w:proofErr w:type="gramStart"/>
      <w:r>
        <w:rPr>
          <w:rFonts w:eastAsia="Arial" w:cs="Arial"/>
          <w:szCs w:val="22"/>
        </w:rPr>
        <w:t>dépense</w:t>
      </w:r>
      <w:proofErr w:type="gramEnd"/>
      <w:r>
        <w:rPr>
          <w:rFonts w:eastAsia="Arial" w:cs="Arial"/>
          <w:szCs w:val="22"/>
        </w:rPr>
        <w:t xml:space="preserve"> plus de 8% de ses revenus pour payer la facture énergétique de son logement, ce qui le place en position de précarité énergétique.</w:t>
      </w:r>
    </w:p>
    <w:p w14:paraId="123EA8F8" w14:textId="77777777" w:rsidR="00066E33" w:rsidRDefault="00066E33" w:rsidP="00066E33">
      <w:pPr>
        <w:jc w:val="both"/>
        <w:rPr>
          <w:rFonts w:eastAsia="Arial" w:cs="Arial"/>
          <w:szCs w:val="22"/>
        </w:rPr>
      </w:pPr>
      <w:bookmarkStart w:id="188" w:name="_heading=h.h98temqkhauk" w:colFirst="0" w:colLast="0"/>
      <w:bookmarkEnd w:id="188"/>
    </w:p>
    <w:p w14:paraId="08E4E679" w14:textId="77777777" w:rsidR="00066E33" w:rsidRDefault="00066E33" w:rsidP="00066E33">
      <w:pPr>
        <w:jc w:val="both"/>
        <w:rPr>
          <w:rFonts w:eastAsia="Arial" w:cs="Arial"/>
          <w:szCs w:val="22"/>
        </w:rPr>
      </w:pPr>
      <w:bookmarkStart w:id="189" w:name="_heading=h.s0h71dr9ck0" w:colFirst="0" w:colLast="0"/>
      <w:bookmarkEnd w:id="189"/>
      <w:r>
        <w:rPr>
          <w:rFonts w:eastAsia="Arial" w:cs="Arial"/>
          <w:szCs w:val="22"/>
        </w:rPr>
        <w:t>Accélérer la lutte contre la précarité énergétique nécessite de compléter le déploiement d’un réseau harmonisé de guichets uniques par une stratégie territoriale proactive de repérage des ménages en situation de précarité énergétique afin de massifier les travaux et leur permettre une baisse significative de leurs consommations énergétiques, synonyme de gain de pouvoir d’achat et de meilleur confort.</w:t>
      </w:r>
    </w:p>
    <w:p w14:paraId="506A6229" w14:textId="77777777" w:rsidR="00066E33" w:rsidRDefault="00066E33" w:rsidP="00066E33">
      <w:pPr>
        <w:jc w:val="both"/>
        <w:rPr>
          <w:rFonts w:eastAsia="Arial" w:cs="Arial"/>
          <w:szCs w:val="22"/>
        </w:rPr>
      </w:pPr>
      <w:bookmarkStart w:id="190" w:name="_heading=h.e0cpgv9vkp58" w:colFirst="0" w:colLast="0"/>
      <w:bookmarkEnd w:id="190"/>
    </w:p>
    <w:p w14:paraId="1C448D32" w14:textId="77777777" w:rsidR="00066E33" w:rsidRDefault="00066E33" w:rsidP="00066E33">
      <w:pPr>
        <w:jc w:val="both"/>
        <w:rPr>
          <w:rFonts w:eastAsia="Arial" w:cs="Arial"/>
          <w:szCs w:val="22"/>
        </w:rPr>
      </w:pPr>
      <w:bookmarkStart w:id="191" w:name="_heading=h.9f0smxibu4ne" w:colFirst="0" w:colLast="0"/>
      <w:bookmarkEnd w:id="191"/>
      <w:r>
        <w:rPr>
          <w:rFonts w:eastAsia="Arial" w:cs="Arial"/>
          <w:szCs w:val="22"/>
        </w:rPr>
        <w:t>Les collectivités territoriales se heurtent aujourd’hui à un vide juridique pour accéder aux données énergétiques et socio-économiques permettant d’aller au-devant de ces ménages. L’objet de cet amendement est de créer une expérimentation de trois ans leur donnant une base légale pour accéder aux fichiers et les exploiter, sous le contrôle étroit de la Commission nationale Informatique et Libertés (CNIL).</w:t>
      </w:r>
    </w:p>
    <w:p w14:paraId="0C33E4C6" w14:textId="77777777" w:rsidR="00501FB8" w:rsidRDefault="00501FB8">
      <w:pPr>
        <w:jc w:val="center"/>
        <w:rPr>
          <w:rFonts w:eastAsia="Arial" w:cs="Arial"/>
          <w:b/>
          <w:color w:val="6EBC57"/>
          <w:sz w:val="28"/>
          <w:szCs w:val="28"/>
        </w:rPr>
      </w:pPr>
    </w:p>
    <w:p w14:paraId="3DDC3ED5" w14:textId="77777777" w:rsidR="00501FB8" w:rsidRDefault="00501FB8">
      <w:pPr>
        <w:jc w:val="center"/>
        <w:rPr>
          <w:rFonts w:eastAsia="Arial" w:cs="Arial"/>
          <w:b/>
          <w:color w:val="6EBC57"/>
          <w:sz w:val="28"/>
          <w:szCs w:val="28"/>
        </w:rPr>
      </w:pPr>
    </w:p>
    <w:p w14:paraId="0A1622E9" w14:textId="77777777" w:rsidR="00066E33" w:rsidRDefault="00066E33" w:rsidP="00503E7B">
      <w:pPr>
        <w:pStyle w:val="SECTION"/>
      </w:pPr>
      <w:bookmarkStart w:id="192" w:name="_Toc65492958"/>
    </w:p>
    <w:p w14:paraId="2E8BA094" w14:textId="77777777" w:rsidR="00066E33" w:rsidRDefault="00066E33">
      <w:pPr>
        <w:pBdr>
          <w:top w:val="none" w:sz="0" w:space="0" w:color="000000"/>
          <w:left w:val="none" w:sz="0" w:space="0" w:color="000000"/>
          <w:bottom w:val="none" w:sz="0" w:space="0" w:color="000000"/>
          <w:right w:val="none" w:sz="0" w:space="0" w:color="000000"/>
          <w:between w:val="none" w:sz="0" w:space="0" w:color="000000"/>
        </w:pBdr>
        <w:rPr>
          <w:rFonts w:eastAsia="Arial" w:cs="Arial"/>
          <w:b/>
          <w:color w:val="6EBC57"/>
          <w:sz w:val="28"/>
          <w:szCs w:val="22"/>
        </w:rPr>
      </w:pPr>
      <w:r>
        <w:br w:type="page"/>
      </w:r>
    </w:p>
    <w:p w14:paraId="7F191B42" w14:textId="77777777" w:rsidR="00DC248C" w:rsidRPr="00797394" w:rsidRDefault="00DC248C" w:rsidP="00DC248C">
      <w:pPr>
        <w:pStyle w:val="SOUSTITRE2"/>
      </w:pPr>
      <w:bookmarkStart w:id="193" w:name="_Toc65512962"/>
      <w:bookmarkStart w:id="194" w:name="_Toc65687462"/>
      <w:r>
        <w:lastRenderedPageBreak/>
        <w:t xml:space="preserve">Chapitre III - Lutter contre l’artificialisation des sols </w:t>
      </w:r>
      <w:r w:rsidRPr="00797394">
        <w:t>en adaptant les règles d’urbanisme</w:t>
      </w:r>
      <w:bookmarkStart w:id="195" w:name="_heading=h.80h68rqq3plp" w:colFirst="0" w:colLast="0"/>
      <w:bookmarkStart w:id="196" w:name="_heading=h.idg9epd6uyj3" w:colFirst="0" w:colLast="0"/>
      <w:bookmarkEnd w:id="193"/>
      <w:bookmarkEnd w:id="194"/>
      <w:bookmarkEnd w:id="195"/>
      <w:bookmarkEnd w:id="196"/>
    </w:p>
    <w:p w14:paraId="5D5F4C41" w14:textId="77777777" w:rsidR="00DC248C" w:rsidRDefault="00DC248C" w:rsidP="00DC248C">
      <w:pPr>
        <w:pStyle w:val="Sansinterligne"/>
      </w:pPr>
      <w:bookmarkStart w:id="197" w:name="_heading=h.vghy5lba1i4m" w:colFirst="0" w:colLast="0"/>
      <w:bookmarkStart w:id="198" w:name="_Toc65512963"/>
      <w:bookmarkEnd w:id="197"/>
    </w:p>
    <w:p w14:paraId="0137A1A6" w14:textId="7086A92F" w:rsidR="00DC248C" w:rsidRPr="00DC248C" w:rsidRDefault="00DC248C" w:rsidP="00DC248C">
      <w:pPr>
        <w:pStyle w:val="Sansinterligne"/>
      </w:pPr>
      <w:bookmarkStart w:id="199" w:name="_Toc65687463"/>
      <w:r w:rsidRPr="00DC248C">
        <w:t>Amendement n°</w:t>
      </w:r>
      <w:r w:rsidR="007A6351">
        <w:t>2</w:t>
      </w:r>
      <w:r w:rsidR="006B77C2">
        <w:t>5</w:t>
      </w:r>
      <w:r w:rsidRPr="00DC248C">
        <w:t xml:space="preserve"> (Prioritaire) - Assurer une meilleure gestion des eaux pluviales pour tout projet de construction</w:t>
      </w:r>
      <w:bookmarkEnd w:id="198"/>
      <w:bookmarkEnd w:id="199"/>
    </w:p>
    <w:p w14:paraId="4E411BB8" w14:textId="77777777" w:rsidR="00DC248C" w:rsidRDefault="00DC248C" w:rsidP="00DC248C">
      <w:pPr>
        <w:spacing w:line="276" w:lineRule="auto"/>
        <w:jc w:val="center"/>
        <w:rPr>
          <w:rFonts w:eastAsia="Arial" w:cs="Arial"/>
          <w:b/>
          <w:szCs w:val="22"/>
        </w:rPr>
      </w:pPr>
      <w:bookmarkStart w:id="200" w:name="_heading=h.2xxwxpwkwzfl" w:colFirst="0" w:colLast="0"/>
      <w:bookmarkEnd w:id="200"/>
    </w:p>
    <w:p w14:paraId="32D14773" w14:textId="77777777" w:rsidR="00DC248C" w:rsidRDefault="00DC248C" w:rsidP="00DC248C">
      <w:pPr>
        <w:spacing w:line="276" w:lineRule="auto"/>
        <w:jc w:val="center"/>
        <w:rPr>
          <w:rFonts w:eastAsia="Arial" w:cs="Arial"/>
          <w:szCs w:val="22"/>
        </w:rPr>
      </w:pPr>
      <w:r>
        <w:rPr>
          <w:rFonts w:eastAsia="Arial" w:cs="Arial"/>
          <w:szCs w:val="22"/>
        </w:rPr>
        <w:t>Présenté par</w:t>
      </w:r>
    </w:p>
    <w:p w14:paraId="21AED168" w14:textId="77777777" w:rsidR="00DC248C" w:rsidRDefault="00DC248C" w:rsidP="00DC248C">
      <w:pPr>
        <w:spacing w:line="276" w:lineRule="auto"/>
        <w:jc w:val="center"/>
        <w:rPr>
          <w:rFonts w:eastAsia="Arial" w:cs="Arial"/>
          <w:szCs w:val="22"/>
        </w:rPr>
      </w:pPr>
      <w:r>
        <w:rPr>
          <w:rFonts w:eastAsia="Arial" w:cs="Arial"/>
          <w:szCs w:val="22"/>
        </w:rPr>
        <w:t>……...</w:t>
      </w:r>
    </w:p>
    <w:p w14:paraId="4AA45953" w14:textId="77777777" w:rsidR="00DC248C" w:rsidRDefault="00DC248C" w:rsidP="00DC248C">
      <w:pPr>
        <w:spacing w:line="276" w:lineRule="auto"/>
        <w:jc w:val="center"/>
        <w:rPr>
          <w:rFonts w:eastAsia="Arial" w:cs="Arial"/>
          <w:szCs w:val="22"/>
        </w:rPr>
      </w:pPr>
    </w:p>
    <w:p w14:paraId="1E039720" w14:textId="77777777" w:rsidR="00DC248C" w:rsidRPr="00797394" w:rsidRDefault="00DC248C" w:rsidP="00DC248C">
      <w:pPr>
        <w:spacing w:line="276" w:lineRule="auto"/>
        <w:jc w:val="center"/>
        <w:rPr>
          <w:rFonts w:eastAsia="Arial" w:cs="Arial"/>
          <w:bCs/>
          <w:szCs w:val="22"/>
        </w:rPr>
      </w:pPr>
      <w:r w:rsidRPr="00797394">
        <w:rPr>
          <w:rFonts w:eastAsia="Arial" w:cs="Arial"/>
          <w:bCs/>
          <w:szCs w:val="22"/>
        </w:rPr>
        <w:t>Article additionnel</w:t>
      </w:r>
    </w:p>
    <w:p w14:paraId="0AC97587" w14:textId="77777777" w:rsidR="00DC248C" w:rsidRPr="00797394" w:rsidRDefault="00DC248C" w:rsidP="00DC248C">
      <w:pPr>
        <w:spacing w:line="276" w:lineRule="auto"/>
        <w:jc w:val="center"/>
        <w:rPr>
          <w:rFonts w:eastAsia="Arial" w:cs="Arial"/>
          <w:bCs/>
          <w:color w:val="0000FF"/>
          <w:szCs w:val="22"/>
        </w:rPr>
      </w:pPr>
      <w:r w:rsidRPr="00797394">
        <w:rPr>
          <w:rFonts w:eastAsia="Arial" w:cs="Arial"/>
          <w:bCs/>
          <w:szCs w:val="22"/>
        </w:rPr>
        <w:t>Après l’article 49, insérer un article supplémentaire ainsi rédigé :</w:t>
      </w:r>
    </w:p>
    <w:p w14:paraId="6DAE79C8" w14:textId="77777777" w:rsidR="00DC248C" w:rsidRDefault="00DC248C" w:rsidP="00DC248C">
      <w:pPr>
        <w:spacing w:line="276" w:lineRule="auto"/>
        <w:jc w:val="both"/>
        <w:rPr>
          <w:rFonts w:eastAsia="Arial" w:cs="Arial"/>
          <w:color w:val="0000FF"/>
          <w:szCs w:val="22"/>
        </w:rPr>
      </w:pPr>
    </w:p>
    <w:p w14:paraId="5982E145" w14:textId="77777777" w:rsidR="00DC248C" w:rsidRDefault="00DC248C" w:rsidP="00DC248C">
      <w:pPr>
        <w:spacing w:line="276" w:lineRule="auto"/>
        <w:jc w:val="both"/>
        <w:rPr>
          <w:rFonts w:eastAsia="Arial" w:cs="Arial"/>
          <w:szCs w:val="22"/>
        </w:rPr>
      </w:pPr>
      <w:r>
        <w:rPr>
          <w:rFonts w:eastAsia="Arial" w:cs="Arial"/>
          <w:szCs w:val="22"/>
        </w:rPr>
        <w:t>En application de</w:t>
      </w:r>
      <w:hyperlink r:id="rId12">
        <w:r>
          <w:rPr>
            <w:rFonts w:eastAsia="Arial" w:cs="Arial"/>
            <w:szCs w:val="22"/>
          </w:rPr>
          <w:t xml:space="preserve"> l'article 72</w:t>
        </w:r>
      </w:hyperlink>
      <w:r>
        <w:rPr>
          <w:rFonts w:eastAsia="Arial" w:cs="Arial"/>
          <w:szCs w:val="22"/>
        </w:rPr>
        <w:t xml:space="preserve"> de la Constitution, une expérimentation est engagée pour une période de cinq années à compter de la date de promulgation de la présente loi en vue de favoriser une meilleure traduction des stratégies de gestion des eaux pluviales à la source, telle que prévue au titre de l’article L. 2224‑10  du code général des collectivités territoriales dans les demandes d’autorisation d’occupation des sols.</w:t>
      </w:r>
    </w:p>
    <w:p w14:paraId="0D08F866" w14:textId="77777777" w:rsidR="00DC248C" w:rsidRDefault="00DC248C" w:rsidP="00DC248C">
      <w:pPr>
        <w:spacing w:line="276" w:lineRule="auto"/>
        <w:jc w:val="both"/>
        <w:rPr>
          <w:rFonts w:eastAsia="Arial" w:cs="Arial"/>
          <w:szCs w:val="22"/>
        </w:rPr>
      </w:pPr>
    </w:p>
    <w:p w14:paraId="2C2E1CD9" w14:textId="77777777" w:rsidR="00DC248C" w:rsidRDefault="00DC248C" w:rsidP="00DC248C">
      <w:pPr>
        <w:spacing w:line="276" w:lineRule="auto"/>
        <w:jc w:val="both"/>
        <w:rPr>
          <w:rFonts w:eastAsia="Arial" w:cs="Arial"/>
          <w:szCs w:val="22"/>
        </w:rPr>
      </w:pPr>
      <w:r>
        <w:rPr>
          <w:rFonts w:eastAsia="Arial" w:cs="Arial"/>
          <w:szCs w:val="22"/>
        </w:rPr>
        <w:t>Cette expérimentation est engagée par l’autorité compétente pour l'ensemble des autorisations et actes relatifs à l'occupation ou à l'utilisation du sol. La demande d'expérimentation est transmise au représentant de l'</w:t>
      </w:r>
      <w:proofErr w:type="spellStart"/>
      <w:r>
        <w:rPr>
          <w:rFonts w:eastAsia="Arial" w:cs="Arial"/>
          <w:szCs w:val="22"/>
        </w:rPr>
        <w:t>Etat</w:t>
      </w:r>
      <w:proofErr w:type="spellEnd"/>
      <w:r>
        <w:rPr>
          <w:rFonts w:eastAsia="Arial" w:cs="Arial"/>
          <w:szCs w:val="22"/>
        </w:rPr>
        <w:t xml:space="preserve"> dans le département concerné avant le 30 juin 2022. Les autorités demandant à participer à l'expérimentation en informent l'agence de l'eau ou, dans les départements d'outre-mer, l'office de l'eau.</w:t>
      </w:r>
    </w:p>
    <w:p w14:paraId="001588BA" w14:textId="77777777" w:rsidR="00DC248C" w:rsidRDefault="00DC248C" w:rsidP="00DC248C">
      <w:pPr>
        <w:spacing w:line="276" w:lineRule="auto"/>
        <w:jc w:val="both"/>
        <w:rPr>
          <w:rFonts w:eastAsia="Arial" w:cs="Arial"/>
          <w:szCs w:val="22"/>
        </w:rPr>
      </w:pPr>
    </w:p>
    <w:p w14:paraId="552AFD85" w14:textId="77777777" w:rsidR="00DC248C" w:rsidRDefault="00DC248C" w:rsidP="00DC248C">
      <w:pPr>
        <w:spacing w:line="276" w:lineRule="auto"/>
        <w:jc w:val="both"/>
        <w:rPr>
          <w:rFonts w:eastAsia="Arial" w:cs="Arial"/>
          <w:szCs w:val="22"/>
        </w:rPr>
      </w:pPr>
      <w:r>
        <w:rPr>
          <w:rFonts w:eastAsia="Arial" w:cs="Arial"/>
          <w:szCs w:val="22"/>
        </w:rPr>
        <w:t>Pour la mise en œuvre de l'expérimentation, l’autorité susmentionnée est autorisée à déroger pour les permis d’aménager aux articles R. 441-1 à R. 441-8-3 du code de l’urbanisme, pour les permis de construire aux articles R. 431-5 à R. 431-12 du code de l’urbanisme, pour les déclarations préalables aux articles R. 431-35 à R. 431-37 du code de l’urbanisme en exigeant une pièce supplémentaire non visée, permettant de vérifier la conformité avec la gestion des eaux pluviales en vigueur sur le territoire en application de l’article L. 2224‑10  du code général des collectivités territoriales.</w:t>
      </w:r>
    </w:p>
    <w:p w14:paraId="6D4CA8C3" w14:textId="77777777" w:rsidR="00DC248C" w:rsidRDefault="00DC248C" w:rsidP="00DC248C">
      <w:pPr>
        <w:spacing w:line="276" w:lineRule="auto"/>
        <w:jc w:val="both"/>
        <w:rPr>
          <w:rFonts w:eastAsia="Arial" w:cs="Arial"/>
          <w:szCs w:val="22"/>
        </w:rPr>
      </w:pPr>
    </w:p>
    <w:p w14:paraId="30F33953" w14:textId="77777777" w:rsidR="00DC248C" w:rsidRDefault="00DC248C" w:rsidP="00DC248C">
      <w:pPr>
        <w:spacing w:line="276" w:lineRule="auto"/>
        <w:jc w:val="both"/>
        <w:rPr>
          <w:rFonts w:eastAsia="Arial" w:cs="Arial"/>
          <w:szCs w:val="22"/>
        </w:rPr>
      </w:pPr>
      <w:r>
        <w:rPr>
          <w:rFonts w:eastAsia="Arial" w:cs="Arial"/>
          <w:szCs w:val="22"/>
        </w:rPr>
        <w:t>Un organisme défini par décret est chargé du suivi et de l'évaluation de l'expérimentation. Il remet au Gouvernement, avant la fin de l'année 2027, un rapport décrivant les actions engagées dans le cadre de l'expérimentation et, avant la fin de l'année 2028, un rapport d'évaluation et de proposition.</w:t>
      </w:r>
    </w:p>
    <w:p w14:paraId="7DEB01FC" w14:textId="77777777" w:rsidR="00DC248C" w:rsidRDefault="00DC248C" w:rsidP="00DC248C">
      <w:pPr>
        <w:spacing w:line="276" w:lineRule="auto"/>
        <w:jc w:val="both"/>
        <w:rPr>
          <w:rFonts w:eastAsia="Arial" w:cs="Arial"/>
          <w:szCs w:val="22"/>
        </w:rPr>
      </w:pPr>
    </w:p>
    <w:p w14:paraId="3BB822C6" w14:textId="77777777" w:rsidR="00DC248C" w:rsidRDefault="00DC248C" w:rsidP="00DC248C">
      <w:pPr>
        <w:spacing w:line="276" w:lineRule="auto"/>
        <w:jc w:val="both"/>
        <w:rPr>
          <w:rFonts w:eastAsia="Arial" w:cs="Arial"/>
          <w:szCs w:val="22"/>
        </w:rPr>
      </w:pPr>
      <w:r>
        <w:rPr>
          <w:rFonts w:eastAsia="Arial" w:cs="Arial"/>
          <w:szCs w:val="22"/>
        </w:rPr>
        <w:t xml:space="preserve">Ces rapports sont transmis aux autorités qui ont participé à l'expérimentation pour observations. L'agence de l'eau et, dans les départements d'outre-mer, l'office de l'eau peuvent apporter des aides aux études de définition et de suivi de l'expérimentation, dans la limite de 80% des dépenses. </w:t>
      </w:r>
    </w:p>
    <w:p w14:paraId="221AD415" w14:textId="77777777" w:rsidR="00DC248C" w:rsidRDefault="00DC248C" w:rsidP="00DC248C">
      <w:pPr>
        <w:spacing w:line="276" w:lineRule="auto"/>
        <w:jc w:val="both"/>
        <w:rPr>
          <w:rFonts w:eastAsia="Arial" w:cs="Arial"/>
          <w:color w:val="0000FF"/>
          <w:szCs w:val="22"/>
        </w:rPr>
      </w:pPr>
    </w:p>
    <w:p w14:paraId="7A46EE69" w14:textId="77777777" w:rsidR="00DC248C" w:rsidRDefault="00DC248C" w:rsidP="00DC248C">
      <w:pPr>
        <w:spacing w:line="276" w:lineRule="auto"/>
        <w:jc w:val="center"/>
        <w:rPr>
          <w:rFonts w:eastAsia="Arial" w:cs="Arial"/>
          <w:b/>
          <w:szCs w:val="22"/>
        </w:rPr>
      </w:pPr>
      <w:r>
        <w:rPr>
          <w:rFonts w:eastAsia="Arial" w:cs="Arial"/>
          <w:b/>
          <w:szCs w:val="22"/>
        </w:rPr>
        <w:t>Exposé sommaire</w:t>
      </w:r>
    </w:p>
    <w:p w14:paraId="0E35289C" w14:textId="77777777" w:rsidR="00DC248C" w:rsidRDefault="00DC248C" w:rsidP="00DC248C">
      <w:pPr>
        <w:spacing w:line="276" w:lineRule="auto"/>
        <w:jc w:val="center"/>
        <w:rPr>
          <w:rFonts w:eastAsia="Arial" w:cs="Arial"/>
          <w:b/>
          <w:szCs w:val="22"/>
          <w:u w:val="single"/>
        </w:rPr>
      </w:pPr>
    </w:p>
    <w:p w14:paraId="2863A2E5" w14:textId="77777777" w:rsidR="00DC248C" w:rsidRPr="00797394" w:rsidRDefault="00DC248C" w:rsidP="00DC248C">
      <w:pPr>
        <w:jc w:val="both"/>
        <w:rPr>
          <w:rFonts w:cs="Arial"/>
          <w:szCs w:val="22"/>
        </w:rPr>
      </w:pPr>
      <w:r w:rsidRPr="00797394">
        <w:rPr>
          <w:rFonts w:cs="Arial"/>
          <w:color w:val="000000"/>
          <w:szCs w:val="22"/>
        </w:rPr>
        <w:t xml:space="preserve">Les collectivités doivent définir leur stratégie de gestion des eaux pluviales dont le principal outil d’application est leur zonage pluvial. Ce document s’impose notamment aux tiers qui déposent des demandes d’urbanisme (permis de construire, permis d’aménager…). Pourtant, la loi n°2006-872 du 13 juillet 2006 portant engagement national pour le logement (loi ENL) et le décret d’application associé (décret 2007-18 du 5 janvier 2007) définissant la liste des pièces exigibles au titre des procédures d’urbanisme n’ont pas inclut de pièces relatives à la </w:t>
      </w:r>
      <w:r w:rsidRPr="00797394">
        <w:rPr>
          <w:rFonts w:cs="Arial"/>
          <w:color w:val="000000"/>
          <w:szCs w:val="22"/>
        </w:rPr>
        <w:lastRenderedPageBreak/>
        <w:t xml:space="preserve">gestion des eaux des parcelles : aucune preuve du bon respect des règles de gestion des eaux pluviales n’est, et ne peut être, demandée. </w:t>
      </w:r>
    </w:p>
    <w:p w14:paraId="116CE3D7" w14:textId="77777777" w:rsidR="00DC248C" w:rsidRPr="00797394" w:rsidRDefault="00DC248C" w:rsidP="00DC248C">
      <w:pPr>
        <w:jc w:val="both"/>
        <w:rPr>
          <w:rFonts w:cs="Arial"/>
          <w:szCs w:val="22"/>
        </w:rPr>
      </w:pPr>
      <w:r w:rsidRPr="00797394">
        <w:rPr>
          <w:rFonts w:cs="Arial"/>
          <w:color w:val="000000"/>
          <w:szCs w:val="22"/>
        </w:rPr>
        <w:t> </w:t>
      </w:r>
    </w:p>
    <w:p w14:paraId="196D6EDF" w14:textId="77777777" w:rsidR="00DC248C" w:rsidRPr="00797394" w:rsidRDefault="00DC248C" w:rsidP="00DC248C">
      <w:pPr>
        <w:jc w:val="both"/>
        <w:rPr>
          <w:rFonts w:cs="Arial"/>
          <w:szCs w:val="22"/>
        </w:rPr>
      </w:pPr>
      <w:r w:rsidRPr="00797394">
        <w:rPr>
          <w:rFonts w:cs="Arial"/>
          <w:color w:val="000000"/>
          <w:szCs w:val="22"/>
        </w:rPr>
        <w:t xml:space="preserve">Pourtant, ces zonages pluviaux et comme de nombreux autres documents (règlements de service d’assainissement, etc.) intègrent de plus en plus des prescriptions pour une gestion à la parcelle des eaux pluviales privilégiant l’infiltration à la source voire le "Zéro rejet” à l'extérieur de la parcelle. Ainsi, le service public administratif sur lequel doit s’appuyer la compétence « gestion des eaux pluviales urbaines » n’a pas et ne peut créer les pièces nécessaires pour assurer l’administration de ce service. Faute de preuve, l’effectivité de l’application des stratégies de gestion des eaux pluviales est limitée. </w:t>
      </w:r>
    </w:p>
    <w:p w14:paraId="16432A98" w14:textId="77777777" w:rsidR="00DC248C" w:rsidRPr="00797394" w:rsidRDefault="00DC248C" w:rsidP="00DC248C">
      <w:pPr>
        <w:jc w:val="both"/>
        <w:rPr>
          <w:rFonts w:cs="Arial"/>
          <w:szCs w:val="22"/>
        </w:rPr>
      </w:pPr>
      <w:r w:rsidRPr="00797394">
        <w:rPr>
          <w:rFonts w:cs="Arial"/>
          <w:color w:val="000000"/>
          <w:szCs w:val="22"/>
        </w:rPr>
        <w:t> </w:t>
      </w:r>
    </w:p>
    <w:p w14:paraId="29C5CAEF" w14:textId="77777777" w:rsidR="00DC248C" w:rsidRPr="00797394" w:rsidRDefault="00DC248C" w:rsidP="00DC248C">
      <w:pPr>
        <w:jc w:val="both"/>
        <w:rPr>
          <w:rFonts w:cs="Arial"/>
          <w:szCs w:val="22"/>
        </w:rPr>
      </w:pPr>
      <w:r w:rsidRPr="00797394">
        <w:rPr>
          <w:rFonts w:cs="Arial"/>
          <w:color w:val="000000"/>
          <w:szCs w:val="22"/>
        </w:rPr>
        <w:t>Pour respecter les règles de gestion des eaux pluviales fixées par les collectivités, il existe de nombreuses solutions techniques (noues, puits d’infiltration, toitures réservoirs…) qui s'adaptent à toutes les situations pour autant qu'elles soient pensées suffisamment tôt dans la réflexion d’urbanisation, idéalement dès l’élaboration du plan masse.</w:t>
      </w:r>
    </w:p>
    <w:p w14:paraId="2406F1C4" w14:textId="77777777" w:rsidR="00DC248C" w:rsidRPr="00797394" w:rsidRDefault="00DC248C" w:rsidP="00DC248C">
      <w:pPr>
        <w:jc w:val="both"/>
        <w:rPr>
          <w:rFonts w:cs="Arial"/>
          <w:szCs w:val="22"/>
        </w:rPr>
      </w:pPr>
      <w:r w:rsidRPr="00797394">
        <w:rPr>
          <w:rFonts w:cs="Arial"/>
          <w:color w:val="000000"/>
          <w:szCs w:val="22"/>
        </w:rPr>
        <w:t xml:space="preserve">A contrario, si une mauvaise gestion des eaux pluviales est détectée trop tard, il est souvent difficile d’adapter le projet pour atteindre les objectifs fixés par les collectivités. Ce n’est souvent qu’après la réalisation des travaux d’urbanisation, par exemple au moment d’une demande de raccordement au réseau pluvial ou suite à des dysfonctionnements lors d’un orage (inondation du voisin, inondation de la chaussée publique…) que la collectivité territoriale peut réagir sur la gestion des eaux pluviales. Il est alors souvent très onéreux et complexe de faire les modifications pour respecter les règles du zonage et les collectivités territoriales sont souvent dans une impasse. Cette situation est la même que celle des « erreurs de branchements ». </w:t>
      </w:r>
    </w:p>
    <w:p w14:paraId="3975B5DC" w14:textId="77777777" w:rsidR="00DC248C" w:rsidRPr="00797394" w:rsidRDefault="00DC248C" w:rsidP="00DC248C">
      <w:pPr>
        <w:jc w:val="both"/>
        <w:rPr>
          <w:rFonts w:cs="Arial"/>
          <w:szCs w:val="22"/>
        </w:rPr>
      </w:pPr>
      <w:r w:rsidRPr="00797394">
        <w:rPr>
          <w:rFonts w:cs="Arial"/>
          <w:color w:val="000000"/>
          <w:szCs w:val="22"/>
        </w:rPr>
        <w:t> </w:t>
      </w:r>
    </w:p>
    <w:p w14:paraId="73CE8199" w14:textId="77777777" w:rsidR="00DC248C" w:rsidRPr="00797394" w:rsidRDefault="00DC248C" w:rsidP="00DC248C">
      <w:pPr>
        <w:jc w:val="both"/>
        <w:rPr>
          <w:rFonts w:cs="Arial"/>
          <w:szCs w:val="22"/>
        </w:rPr>
      </w:pPr>
      <w:r w:rsidRPr="00797394">
        <w:rPr>
          <w:rFonts w:cs="Arial"/>
          <w:color w:val="000000"/>
          <w:szCs w:val="22"/>
        </w:rPr>
        <w:t xml:space="preserve">Il semble donc évident qu’il manque un outil aux collectivités pour faire respecter leur stratégie de gestion des eaux pluviales par les pétitionnaires et que cet outil doit permettre d’intervenir suffisamment en amont pour simplifier la gestion des eaux pluviales par les pétitionnaires comme pour les services de la collectivité, au bénéfice des deux mais aussi des habitants. </w:t>
      </w:r>
    </w:p>
    <w:p w14:paraId="544ED220" w14:textId="77777777" w:rsidR="00DC248C" w:rsidRPr="00797394" w:rsidRDefault="00DC248C" w:rsidP="00DC248C">
      <w:pPr>
        <w:jc w:val="both"/>
        <w:rPr>
          <w:rFonts w:cs="Arial"/>
          <w:szCs w:val="22"/>
        </w:rPr>
      </w:pPr>
      <w:r w:rsidRPr="00797394">
        <w:rPr>
          <w:rFonts w:cs="Arial"/>
          <w:color w:val="000000"/>
          <w:szCs w:val="22"/>
        </w:rPr>
        <w:t> </w:t>
      </w:r>
    </w:p>
    <w:p w14:paraId="6EE00617" w14:textId="77777777" w:rsidR="00DC248C" w:rsidRPr="00797394" w:rsidRDefault="00DC248C" w:rsidP="00DC248C">
      <w:pPr>
        <w:jc w:val="both"/>
        <w:rPr>
          <w:rFonts w:cs="Arial"/>
          <w:szCs w:val="22"/>
        </w:rPr>
      </w:pPr>
      <w:r w:rsidRPr="00797394">
        <w:rPr>
          <w:rFonts w:cs="Arial"/>
          <w:b/>
          <w:bCs/>
          <w:color w:val="000000"/>
          <w:szCs w:val="22"/>
        </w:rPr>
        <w:t>Le présent amendement vise donc à permettre aux collectivités en charge de l’urbanisme qui le souhaitent, en coordination avec la collectivité en charge de la compétence de la gestion des eaux pluviales urbaines, d'expérimenter différentes solutions pour simplifier et systématiser ces procédures au service de l’eau et de l’équité de traitement entre les porteurs de projet.</w:t>
      </w:r>
    </w:p>
    <w:p w14:paraId="235692D9" w14:textId="77777777" w:rsidR="00DC248C" w:rsidRPr="00797394" w:rsidRDefault="00DC248C" w:rsidP="00DC248C">
      <w:pPr>
        <w:jc w:val="both"/>
        <w:rPr>
          <w:rFonts w:cs="Arial"/>
          <w:szCs w:val="22"/>
        </w:rPr>
      </w:pPr>
      <w:r w:rsidRPr="00797394">
        <w:rPr>
          <w:rFonts w:cs="Arial"/>
          <w:color w:val="000000"/>
        </w:rPr>
        <w:t> </w:t>
      </w:r>
    </w:p>
    <w:p w14:paraId="4B4C574A" w14:textId="77777777" w:rsidR="00DC248C" w:rsidRPr="00797394" w:rsidRDefault="00DC248C" w:rsidP="00DC248C">
      <w:pPr>
        <w:spacing w:after="200" w:line="276" w:lineRule="auto"/>
        <w:jc w:val="both"/>
        <w:rPr>
          <w:rFonts w:cs="Arial"/>
          <w:szCs w:val="22"/>
        </w:rPr>
      </w:pPr>
      <w:r w:rsidRPr="00797394">
        <w:rPr>
          <w:rFonts w:cs="Arial"/>
          <w:szCs w:val="22"/>
        </w:rPr>
        <w:t xml:space="preserve">Enfin, cette modification concourrait à de nombreux autres objectifs majeurs de la gestion de l’eau et reliés à l’atténuation et l’adaptation au changement climatique des territoires cohérents avec la loi climat et résilience : réduction des pollutions, assainissement, inondations, économie et protection des ressources en eau, biodiversité, lutte contre l’imperméabilisation et artificialisation des sols voire leur renaturation, les îlots de chaleur, sobriété énergétique et matérielle, solutions fondées sur la nature, rusticité, résilience et durabilité tels que portés par la Stratégie bas carbone de la France ou les objectifs de développement durable de l’organisation des nations unies (ONU) et notamment son objectif 11 : « Faire en sorte que les villes et les établissements humains soient ouverts à tous, sûrs, résilients et durables ». </w:t>
      </w:r>
    </w:p>
    <w:p w14:paraId="4ABD7E29" w14:textId="77777777" w:rsidR="00DC248C" w:rsidRPr="00797394" w:rsidRDefault="00DC248C" w:rsidP="00DC248C">
      <w:pPr>
        <w:spacing w:after="200" w:line="276" w:lineRule="auto"/>
        <w:jc w:val="both"/>
        <w:rPr>
          <w:rFonts w:cs="Arial"/>
          <w:szCs w:val="22"/>
        </w:rPr>
      </w:pPr>
      <w:r w:rsidRPr="00797394">
        <w:rPr>
          <w:rFonts w:cs="Arial"/>
          <w:szCs w:val="22"/>
        </w:rPr>
        <w:t>Elle rationaliserait aussi les finances publiques dont 2,5 milliards d’euros sont aujourd’hui toujours financés par les budgets assainissement alors qu’ils ne sont pas dotés pour (rapport « Gestion des eaux pluviales : dix ans pour relever le défi » du Conseil général de l’environnement et du développement durable, CGEDD) mais également en lien avec le secteur assurantiel et les fonds publics de la gestion du risque (fond Barnier, etc.) et les dispositifs de catastrophe naturelle. A cet égard, elle saurait même être source d’emplois locaux non-</w:t>
      </w:r>
      <w:proofErr w:type="spellStart"/>
      <w:r w:rsidRPr="00797394">
        <w:rPr>
          <w:rFonts w:cs="Arial"/>
          <w:szCs w:val="22"/>
        </w:rPr>
        <w:t>délocalisables</w:t>
      </w:r>
      <w:proofErr w:type="spellEnd"/>
      <w:r w:rsidRPr="00797394">
        <w:rPr>
          <w:rFonts w:cs="Arial"/>
          <w:szCs w:val="22"/>
        </w:rPr>
        <w:t>.</w:t>
      </w:r>
    </w:p>
    <w:p w14:paraId="629DC149" w14:textId="77777777" w:rsidR="00DC248C" w:rsidRPr="00797394" w:rsidRDefault="00DC248C" w:rsidP="00DC248C">
      <w:pPr>
        <w:spacing w:after="200" w:line="276" w:lineRule="auto"/>
        <w:jc w:val="both"/>
        <w:rPr>
          <w:rFonts w:cs="Arial"/>
          <w:szCs w:val="22"/>
        </w:rPr>
      </w:pPr>
      <w:r w:rsidRPr="00797394">
        <w:rPr>
          <w:rFonts w:cs="Arial"/>
          <w:szCs w:val="22"/>
        </w:rPr>
        <w:lastRenderedPageBreak/>
        <w:t xml:space="preserve">Elle appuierait également le portage des mesures et orientations fixées dans les schémas directeurs d’aménagement et de gestion des eaux (SDAGE) et Stratégies d’adaptation au changement climatique des six grands bassins versants français dans lesquels la gestion à la source des eaux pluviales est promue mais peine à se concrétiser faute d’application locale. </w:t>
      </w:r>
    </w:p>
    <w:p w14:paraId="7A1091C2" w14:textId="77777777" w:rsidR="00DC248C" w:rsidRDefault="00DC248C" w:rsidP="00C477A6">
      <w:pPr>
        <w:pStyle w:val="SECTION"/>
      </w:pPr>
    </w:p>
    <w:p w14:paraId="7AEAB3C8" w14:textId="77777777" w:rsidR="00DC248C" w:rsidRDefault="00DC248C" w:rsidP="00C477A6">
      <w:pPr>
        <w:pStyle w:val="SECTION"/>
      </w:pPr>
    </w:p>
    <w:p w14:paraId="2CA633AC" w14:textId="77777777" w:rsidR="00DC248C" w:rsidRDefault="00DC248C">
      <w:pPr>
        <w:pBdr>
          <w:top w:val="none" w:sz="0" w:space="0" w:color="000000"/>
          <w:left w:val="none" w:sz="0" w:space="0" w:color="000000"/>
          <w:bottom w:val="none" w:sz="0" w:space="0" w:color="000000"/>
          <w:right w:val="none" w:sz="0" w:space="0" w:color="000000"/>
          <w:between w:val="none" w:sz="0" w:space="0" w:color="000000"/>
        </w:pBdr>
        <w:rPr>
          <w:rFonts w:eastAsia="Arial" w:cs="Arial"/>
          <w:b/>
          <w:color w:val="1F497D" w:themeColor="text2"/>
          <w:sz w:val="28"/>
          <w:szCs w:val="22"/>
        </w:rPr>
      </w:pPr>
      <w:r>
        <w:br w:type="page"/>
      </w:r>
    </w:p>
    <w:p w14:paraId="1C3C24EC" w14:textId="18FFE94F" w:rsidR="00503E7B" w:rsidRDefault="00F63BB8" w:rsidP="00C477A6">
      <w:pPr>
        <w:pStyle w:val="SECTION"/>
      </w:pPr>
      <w:bookmarkStart w:id="201" w:name="_Toc65687464"/>
      <w:r>
        <w:lastRenderedPageBreak/>
        <w:t xml:space="preserve">TITRE V </w:t>
      </w:r>
      <w:r w:rsidR="00503E7B">
        <w:t xml:space="preserve">- </w:t>
      </w:r>
      <w:r>
        <w:t>SE NOURRIR</w:t>
      </w:r>
      <w:bookmarkEnd w:id="192"/>
      <w:bookmarkEnd w:id="201"/>
    </w:p>
    <w:p w14:paraId="45634ABB" w14:textId="1CEF1D1A" w:rsidR="00501FB8" w:rsidRDefault="00F63BB8" w:rsidP="00503E7B">
      <w:pPr>
        <w:rPr>
          <w:rFonts w:eastAsia="Arial" w:cs="Arial"/>
          <w:b/>
          <w:color w:val="6EBC57"/>
          <w:sz w:val="28"/>
          <w:szCs w:val="28"/>
        </w:rPr>
      </w:pPr>
      <w:r>
        <w:rPr>
          <w:rFonts w:eastAsia="Arial" w:cs="Arial"/>
          <w:b/>
          <w:color w:val="6EBC57"/>
          <w:sz w:val="28"/>
          <w:szCs w:val="28"/>
        </w:rPr>
        <w:t xml:space="preserve"> </w:t>
      </w:r>
    </w:p>
    <w:p w14:paraId="0D36C5E6" w14:textId="529FDAA9" w:rsidR="00501FB8" w:rsidRDefault="00F63BB8" w:rsidP="00C477A6">
      <w:pPr>
        <w:pStyle w:val="SOUSTITRE2"/>
        <w:rPr>
          <w:sz w:val="22"/>
          <w:szCs w:val="22"/>
        </w:rPr>
      </w:pPr>
      <w:bookmarkStart w:id="202" w:name="_Toc65492959"/>
      <w:bookmarkStart w:id="203" w:name="_Toc65685682"/>
      <w:bookmarkStart w:id="204" w:name="_Toc65687465"/>
      <w:r>
        <w:t xml:space="preserve">Chapitre </w:t>
      </w:r>
      <w:r w:rsidR="00503E7B">
        <w:t>I</w:t>
      </w:r>
      <w:r w:rsidR="00503E7B" w:rsidRPr="00503E7B">
        <w:rPr>
          <w:vertAlign w:val="superscript"/>
        </w:rPr>
        <w:t>er</w:t>
      </w:r>
      <w:r>
        <w:t xml:space="preserve"> </w:t>
      </w:r>
      <w:r w:rsidR="00503E7B">
        <w:t xml:space="preserve">- </w:t>
      </w:r>
      <w:r>
        <w:t>Soutenir une alimentation saine et durable peu émettrice de gaz à effet de serre pour tous</w:t>
      </w:r>
      <w:bookmarkEnd w:id="202"/>
      <w:bookmarkEnd w:id="203"/>
      <w:bookmarkEnd w:id="204"/>
    </w:p>
    <w:p w14:paraId="0952B37E"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szCs w:val="22"/>
        </w:rPr>
      </w:pPr>
    </w:p>
    <w:p w14:paraId="44BC9F52"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szCs w:val="22"/>
        </w:rPr>
      </w:pPr>
    </w:p>
    <w:p w14:paraId="0A4D70A5" w14:textId="47671B32" w:rsidR="00501FB8" w:rsidRPr="00F46E87" w:rsidRDefault="00F63BB8" w:rsidP="00F46E87">
      <w:pPr>
        <w:pStyle w:val="Sansinterligne"/>
        <w:rPr>
          <w:rFonts w:eastAsia="Arial" w:cs="Arial"/>
          <w:szCs w:val="22"/>
        </w:rPr>
      </w:pPr>
      <w:bookmarkStart w:id="205" w:name="_Toc65685039"/>
      <w:bookmarkStart w:id="206" w:name="_Toc65685683"/>
      <w:bookmarkStart w:id="207" w:name="_Toc65687466"/>
      <w:r>
        <w:rPr>
          <w:rFonts w:eastAsia="Arial" w:cs="Arial"/>
          <w:szCs w:val="22"/>
        </w:rPr>
        <w:t>Amendement n°</w:t>
      </w:r>
      <w:bookmarkStart w:id="208" w:name="_heading=h.fxxv1yvc5kk" w:colFirst="0" w:colLast="0"/>
      <w:bookmarkEnd w:id="208"/>
      <w:r w:rsidR="00C477A6">
        <w:rPr>
          <w:rFonts w:eastAsia="Arial" w:cs="Arial"/>
          <w:szCs w:val="22"/>
        </w:rPr>
        <w:t>2</w:t>
      </w:r>
      <w:r w:rsidR="006B77C2">
        <w:rPr>
          <w:rFonts w:eastAsia="Arial" w:cs="Arial"/>
          <w:szCs w:val="22"/>
        </w:rPr>
        <w:t>6</w:t>
      </w:r>
      <w:r w:rsidR="00F46E87">
        <w:rPr>
          <w:rFonts w:eastAsia="Arial" w:cs="Arial"/>
          <w:szCs w:val="22"/>
        </w:rPr>
        <w:t xml:space="preserve"> - </w:t>
      </w:r>
      <w:r>
        <w:rPr>
          <w:rFonts w:eastAsia="Arial"/>
        </w:rPr>
        <w:t>Réduire le gaspillage alimentaire en encadrant nationalement les dates de durabilité minimale et les dates limites de consommation</w:t>
      </w:r>
      <w:bookmarkEnd w:id="205"/>
      <w:bookmarkEnd w:id="206"/>
      <w:bookmarkEnd w:id="207"/>
      <w:r>
        <w:rPr>
          <w:rFonts w:eastAsia="Arial"/>
        </w:rPr>
        <w:t xml:space="preserve"> </w:t>
      </w:r>
    </w:p>
    <w:p w14:paraId="57E7212A" w14:textId="77777777" w:rsidR="00501FB8" w:rsidRDefault="00501FB8">
      <w:pPr>
        <w:rPr>
          <w:rFonts w:eastAsia="Arial" w:cs="Arial"/>
          <w:b/>
          <w:szCs w:val="22"/>
        </w:rPr>
      </w:pPr>
    </w:p>
    <w:p w14:paraId="58F01D13" w14:textId="77777777" w:rsidR="00501FB8" w:rsidRDefault="00F63BB8">
      <w:pPr>
        <w:jc w:val="center"/>
        <w:rPr>
          <w:rFonts w:eastAsia="Arial" w:cs="Arial"/>
          <w:szCs w:val="22"/>
        </w:rPr>
      </w:pPr>
      <w:r>
        <w:rPr>
          <w:rFonts w:eastAsia="Arial" w:cs="Arial"/>
          <w:szCs w:val="22"/>
        </w:rPr>
        <w:t>Présenté par</w:t>
      </w:r>
    </w:p>
    <w:p w14:paraId="0E98536C" w14:textId="77777777" w:rsidR="00501FB8" w:rsidRDefault="00F63BB8">
      <w:pPr>
        <w:jc w:val="center"/>
        <w:rPr>
          <w:rFonts w:eastAsia="Arial" w:cs="Arial"/>
          <w:szCs w:val="22"/>
        </w:rPr>
      </w:pPr>
      <w:r>
        <w:rPr>
          <w:rFonts w:eastAsia="Arial" w:cs="Arial"/>
          <w:szCs w:val="22"/>
        </w:rPr>
        <w:t>…..</w:t>
      </w:r>
    </w:p>
    <w:p w14:paraId="04C510D5" w14:textId="77777777" w:rsidR="00501FB8" w:rsidRDefault="00501FB8">
      <w:pPr>
        <w:jc w:val="center"/>
        <w:rPr>
          <w:rFonts w:eastAsia="Arial" w:cs="Arial"/>
          <w:b/>
          <w:szCs w:val="22"/>
        </w:rPr>
      </w:pPr>
    </w:p>
    <w:p w14:paraId="17237082" w14:textId="44F9EC1E" w:rsidR="00501FB8" w:rsidRDefault="00503E7B">
      <w:pPr>
        <w:jc w:val="center"/>
        <w:rPr>
          <w:rFonts w:eastAsia="Arial" w:cs="Arial"/>
          <w:szCs w:val="22"/>
        </w:rPr>
      </w:pPr>
      <w:r>
        <w:rPr>
          <w:rFonts w:eastAsia="Arial" w:cs="Arial"/>
          <w:szCs w:val="22"/>
        </w:rPr>
        <w:t>A</w:t>
      </w:r>
      <w:r w:rsidR="00F63BB8">
        <w:rPr>
          <w:rFonts w:eastAsia="Arial" w:cs="Arial"/>
          <w:szCs w:val="22"/>
        </w:rPr>
        <w:t>rticle additionnel</w:t>
      </w:r>
    </w:p>
    <w:p w14:paraId="459FD663" w14:textId="3C7A55C7" w:rsidR="00501FB8" w:rsidRDefault="00503E7B">
      <w:pPr>
        <w:spacing w:line="276" w:lineRule="auto"/>
        <w:jc w:val="center"/>
        <w:rPr>
          <w:rFonts w:eastAsia="Arial" w:cs="Arial"/>
          <w:szCs w:val="22"/>
        </w:rPr>
      </w:pPr>
      <w:r>
        <w:rPr>
          <w:rFonts w:eastAsia="Arial" w:cs="Arial"/>
          <w:szCs w:val="22"/>
        </w:rPr>
        <w:t>A</w:t>
      </w:r>
      <w:r w:rsidR="00F63BB8">
        <w:rPr>
          <w:rFonts w:eastAsia="Arial" w:cs="Arial"/>
          <w:szCs w:val="22"/>
        </w:rPr>
        <w:t>près l’article 12</w:t>
      </w:r>
      <w:r w:rsidR="00F46E87">
        <w:rPr>
          <w:rFonts w:eastAsia="Arial" w:cs="Arial"/>
          <w:szCs w:val="22"/>
        </w:rPr>
        <w:t>, ajouter un article ainsi rédigé :</w:t>
      </w:r>
    </w:p>
    <w:p w14:paraId="288E6E9C" w14:textId="77777777" w:rsidR="00501FB8" w:rsidRDefault="00501FB8" w:rsidP="00F46E87">
      <w:pPr>
        <w:spacing w:line="276" w:lineRule="auto"/>
        <w:rPr>
          <w:rFonts w:eastAsia="Arial" w:cs="Arial"/>
          <w:b/>
          <w:szCs w:val="22"/>
          <w:u w:val="single"/>
        </w:rPr>
      </w:pPr>
    </w:p>
    <w:p w14:paraId="7B3629B0" w14:textId="77777777" w:rsidR="00501FB8" w:rsidRDefault="00F63BB8">
      <w:pPr>
        <w:jc w:val="both"/>
        <w:rPr>
          <w:rFonts w:eastAsia="Arial" w:cs="Arial"/>
          <w:szCs w:val="22"/>
        </w:rPr>
      </w:pPr>
      <w:r>
        <w:rPr>
          <w:rFonts w:eastAsia="Arial" w:cs="Arial"/>
          <w:szCs w:val="22"/>
        </w:rPr>
        <w:t>Rajouter deux alinéas à l’article L. 421-7 du code de la consommation ainsi rédigé :</w:t>
      </w:r>
    </w:p>
    <w:p w14:paraId="67EA4F07" w14:textId="77777777" w:rsidR="00501FB8" w:rsidRDefault="00F63BB8">
      <w:pPr>
        <w:jc w:val="both"/>
        <w:rPr>
          <w:rFonts w:eastAsia="Arial" w:cs="Arial"/>
          <w:szCs w:val="22"/>
        </w:rPr>
      </w:pPr>
      <w:r>
        <w:rPr>
          <w:rFonts w:eastAsia="Arial" w:cs="Arial"/>
          <w:szCs w:val="22"/>
        </w:rPr>
        <w:t xml:space="preserve"> </w:t>
      </w:r>
    </w:p>
    <w:p w14:paraId="22E6B6C2" w14:textId="77777777" w:rsidR="00501FB8" w:rsidRDefault="00F63BB8">
      <w:pPr>
        <w:jc w:val="both"/>
        <w:rPr>
          <w:rFonts w:eastAsia="Arial" w:cs="Arial"/>
          <w:szCs w:val="22"/>
        </w:rPr>
      </w:pPr>
      <w:r>
        <w:rPr>
          <w:rFonts w:eastAsia="Arial" w:cs="Arial"/>
          <w:szCs w:val="22"/>
        </w:rPr>
        <w:t xml:space="preserve">“Lorsqu’un produit alimentaire comporte une date de durabilité minimale, celle-ci ne peut être inférieure aux délais minimums de durabilité fixés par décret afin d’assurer une mise en œuvre uniforme, et doit également être accompagnée d’une mention, précisée par décret, informant les consommateurs que le produit reste consommable après cette date. </w:t>
      </w:r>
    </w:p>
    <w:p w14:paraId="07FDE395" w14:textId="77777777" w:rsidR="00501FB8" w:rsidRDefault="00501FB8">
      <w:pPr>
        <w:jc w:val="both"/>
        <w:rPr>
          <w:rFonts w:eastAsia="Arial" w:cs="Arial"/>
          <w:szCs w:val="22"/>
        </w:rPr>
      </w:pPr>
    </w:p>
    <w:p w14:paraId="321079F6" w14:textId="77777777" w:rsidR="00501FB8" w:rsidRDefault="00F63BB8">
      <w:pPr>
        <w:jc w:val="both"/>
        <w:rPr>
          <w:rFonts w:eastAsia="Arial" w:cs="Arial"/>
          <w:szCs w:val="22"/>
        </w:rPr>
      </w:pPr>
      <w:r>
        <w:rPr>
          <w:rFonts w:eastAsia="Arial" w:cs="Arial"/>
          <w:szCs w:val="22"/>
        </w:rPr>
        <w:t>Les dates limites de consommation affichées sur les produits alimentaires ne peuvent être inférieures aux délais minimums de consommation fixés par décret afin d’assurer une mise en œuvre uniforme »</w:t>
      </w:r>
    </w:p>
    <w:p w14:paraId="3D239A00" w14:textId="77777777" w:rsidR="00501FB8" w:rsidRDefault="00501FB8">
      <w:pPr>
        <w:jc w:val="both"/>
        <w:rPr>
          <w:rFonts w:eastAsia="Arial" w:cs="Arial"/>
          <w:szCs w:val="22"/>
        </w:rPr>
      </w:pPr>
    </w:p>
    <w:p w14:paraId="19D7BE5B" w14:textId="732CD769" w:rsidR="00501FB8" w:rsidRPr="00F46E87" w:rsidRDefault="00F46E87">
      <w:pPr>
        <w:spacing w:line="276" w:lineRule="auto"/>
        <w:jc w:val="center"/>
        <w:rPr>
          <w:rFonts w:eastAsia="Arial" w:cs="Arial"/>
          <w:b/>
          <w:szCs w:val="22"/>
        </w:rPr>
      </w:pPr>
      <w:r w:rsidRPr="00F46E87">
        <w:rPr>
          <w:rFonts w:eastAsia="Arial" w:cs="Arial"/>
          <w:b/>
          <w:szCs w:val="22"/>
        </w:rPr>
        <w:t>Exposé sommaire</w:t>
      </w:r>
    </w:p>
    <w:p w14:paraId="04AE600F" w14:textId="77777777" w:rsidR="00501FB8" w:rsidRDefault="00501FB8">
      <w:pPr>
        <w:spacing w:line="276" w:lineRule="auto"/>
        <w:jc w:val="center"/>
        <w:rPr>
          <w:rFonts w:eastAsia="Arial" w:cs="Arial"/>
          <w:b/>
          <w:szCs w:val="22"/>
          <w:u w:val="single"/>
        </w:rPr>
      </w:pPr>
    </w:p>
    <w:p w14:paraId="30A7DF5D" w14:textId="39E8ACDB" w:rsidR="00501FB8" w:rsidRDefault="00F63BB8">
      <w:pPr>
        <w:jc w:val="both"/>
        <w:rPr>
          <w:rFonts w:eastAsia="Arial" w:cs="Arial"/>
          <w:b/>
          <w:szCs w:val="22"/>
        </w:rPr>
      </w:pPr>
      <w:r>
        <w:rPr>
          <w:rFonts w:eastAsia="Arial" w:cs="Arial"/>
          <w:b/>
          <w:szCs w:val="22"/>
        </w:rPr>
        <w:t>Cet amendement est une traduction d’une demande de “poursuivre la transition amorcée par la loi agriculture et alimentation d’octobre 2018 en renforçant son application sur ses différents volets</w:t>
      </w:r>
      <w:r w:rsidR="00712FB0">
        <w:rPr>
          <w:rFonts w:eastAsia="Arial" w:cs="Arial"/>
          <w:b/>
          <w:szCs w:val="22"/>
        </w:rPr>
        <w:t xml:space="preserve"> </w:t>
      </w:r>
      <w:r>
        <w:rPr>
          <w:rFonts w:eastAsia="Arial" w:cs="Arial"/>
          <w:b/>
          <w:szCs w:val="22"/>
        </w:rPr>
        <w:t>: (...) la réduction du gaspillage alimentaire” issue du rapport final de la Convention citoyenne pour le Climat.</w:t>
      </w:r>
    </w:p>
    <w:p w14:paraId="3330CA4D" w14:textId="77777777" w:rsidR="00501FB8" w:rsidRDefault="00501FB8">
      <w:pPr>
        <w:jc w:val="both"/>
        <w:rPr>
          <w:rFonts w:eastAsia="Arial" w:cs="Arial"/>
          <w:b/>
          <w:szCs w:val="22"/>
        </w:rPr>
      </w:pPr>
    </w:p>
    <w:p w14:paraId="71CDCBCE" w14:textId="77777777" w:rsidR="00501FB8" w:rsidRDefault="00F63BB8">
      <w:pPr>
        <w:jc w:val="both"/>
        <w:rPr>
          <w:rFonts w:eastAsia="Arial" w:cs="Arial"/>
          <w:szCs w:val="22"/>
        </w:rPr>
      </w:pPr>
      <w:r>
        <w:rPr>
          <w:rFonts w:eastAsia="Arial" w:cs="Arial"/>
          <w:szCs w:val="22"/>
        </w:rPr>
        <w:t>Les dates de durabilité minimale et les dates limites de consommation présentent sur les produits contribuent au gaspillage alimentaire en incitant à jeter des produits encore consommables car les règles selon lesquelles elles sont fixées ne sont pas toujours établies.</w:t>
      </w:r>
    </w:p>
    <w:p w14:paraId="7F1083E2" w14:textId="77777777" w:rsidR="00501FB8" w:rsidRDefault="00F63BB8">
      <w:pPr>
        <w:jc w:val="both"/>
        <w:rPr>
          <w:rFonts w:eastAsia="Arial" w:cs="Arial"/>
          <w:szCs w:val="22"/>
        </w:rPr>
      </w:pPr>
      <w:r>
        <w:rPr>
          <w:rFonts w:eastAsia="Arial" w:cs="Arial"/>
          <w:szCs w:val="22"/>
        </w:rPr>
        <w:t xml:space="preserve"> </w:t>
      </w:r>
    </w:p>
    <w:p w14:paraId="37A08497" w14:textId="77777777" w:rsidR="00501FB8" w:rsidRDefault="00F63BB8">
      <w:pPr>
        <w:jc w:val="both"/>
        <w:rPr>
          <w:rFonts w:eastAsia="Arial" w:cs="Arial"/>
          <w:szCs w:val="22"/>
        </w:rPr>
      </w:pPr>
      <w:r>
        <w:rPr>
          <w:rFonts w:eastAsia="Arial" w:cs="Arial"/>
          <w:szCs w:val="22"/>
        </w:rPr>
        <w:t>Sur un même produit, les dates de durabilité minimale et les dates limites de consommation vont varier selon que celui-ci soit commercialisé sur le territoire métropolitain ou en outre-mer. Souvent, ces dates sont allongées en outre-mer afin d’assurer leur commercialisation. Ce n’est donc pas le principe de précaution qui a conduit à fixer une date de consommation sévère.</w:t>
      </w:r>
    </w:p>
    <w:p w14:paraId="240B68B4" w14:textId="77777777" w:rsidR="00501FB8" w:rsidRDefault="00F63BB8">
      <w:pPr>
        <w:jc w:val="both"/>
        <w:rPr>
          <w:rFonts w:eastAsia="Arial" w:cs="Arial"/>
          <w:szCs w:val="22"/>
        </w:rPr>
      </w:pPr>
      <w:r>
        <w:rPr>
          <w:rFonts w:eastAsia="Arial" w:cs="Arial"/>
          <w:szCs w:val="22"/>
        </w:rPr>
        <w:t xml:space="preserve"> </w:t>
      </w:r>
    </w:p>
    <w:p w14:paraId="370A8C42" w14:textId="65333714" w:rsidR="00066E33" w:rsidRPr="00066E33" w:rsidRDefault="00F63BB8" w:rsidP="00066E33">
      <w:pPr>
        <w:jc w:val="both"/>
        <w:rPr>
          <w:rFonts w:eastAsia="Arial" w:cs="Arial"/>
          <w:szCs w:val="22"/>
        </w:rPr>
      </w:pPr>
      <w:r>
        <w:rPr>
          <w:rFonts w:eastAsia="Arial" w:cs="Arial"/>
          <w:szCs w:val="22"/>
        </w:rPr>
        <w:t>L’encadrement global de ces dates étant fixé au niveau européen, cet amendement vise à préciser une déclinaison nationale afin d’assurer une cohérence dans la fixation de celles-ci par grande famille de produits et ainsi éviter les fixations aléatoires et in fine le gaspillage alimentaire.</w:t>
      </w:r>
      <w:r>
        <w:br w:type="page"/>
      </w:r>
      <w:bookmarkStart w:id="209" w:name="_Toc65492960"/>
    </w:p>
    <w:p w14:paraId="4B473FFE" w14:textId="22D23664" w:rsidR="00066E33" w:rsidRPr="00066E33" w:rsidRDefault="00066E33" w:rsidP="00C477A6">
      <w:pPr>
        <w:pStyle w:val="SOUSTITRE2"/>
      </w:pPr>
      <w:bookmarkStart w:id="210" w:name="_Toc65512965"/>
      <w:bookmarkStart w:id="211" w:name="_Toc65685684"/>
      <w:bookmarkStart w:id="212" w:name="_Toc65687467"/>
      <w:r w:rsidRPr="00066E33">
        <w:lastRenderedPageBreak/>
        <w:t>Chapitre II – Développer l’agroécologie</w:t>
      </w:r>
      <w:bookmarkStart w:id="213" w:name="_heading=h.3w3e4nd6e2i2" w:colFirst="0" w:colLast="0"/>
      <w:bookmarkStart w:id="214" w:name="_heading=h.bhbdz8t1dt7i" w:colFirst="0" w:colLast="0"/>
      <w:bookmarkEnd w:id="210"/>
      <w:bookmarkEnd w:id="211"/>
      <w:bookmarkEnd w:id="212"/>
      <w:bookmarkEnd w:id="213"/>
      <w:bookmarkEnd w:id="214"/>
    </w:p>
    <w:p w14:paraId="076EC03B" w14:textId="77777777" w:rsidR="00066E33" w:rsidRDefault="00066E33" w:rsidP="00066E33">
      <w:pPr>
        <w:pStyle w:val="Sansinterligne"/>
      </w:pPr>
      <w:bookmarkStart w:id="215" w:name="_heading=h.juukzr3s6qom" w:colFirst="0" w:colLast="0"/>
      <w:bookmarkEnd w:id="215"/>
    </w:p>
    <w:p w14:paraId="3ED13974" w14:textId="47F73EF8" w:rsidR="00066E33" w:rsidRPr="00797394" w:rsidRDefault="00066E33" w:rsidP="00066E33">
      <w:pPr>
        <w:pStyle w:val="Sansinterligne"/>
      </w:pPr>
      <w:bookmarkStart w:id="216" w:name="_Toc65512966"/>
      <w:bookmarkStart w:id="217" w:name="_Toc65685040"/>
      <w:bookmarkStart w:id="218" w:name="_Toc65685685"/>
      <w:bookmarkStart w:id="219" w:name="_Toc65687468"/>
      <w:r w:rsidRPr="00797394">
        <w:t>Amendement n°</w:t>
      </w:r>
      <w:bookmarkStart w:id="220" w:name="_heading=h.3ndr2ams5cwq" w:colFirst="0" w:colLast="0"/>
      <w:bookmarkEnd w:id="220"/>
      <w:r w:rsidR="00C477A6">
        <w:t>2</w:t>
      </w:r>
      <w:r w:rsidR="006B77C2">
        <w:t>7</w:t>
      </w:r>
      <w:r w:rsidRPr="00797394">
        <w:t xml:space="preserve"> - Mettre en place une stratégie de préservation de la fertilité des sols</w:t>
      </w:r>
      <w:bookmarkEnd w:id="216"/>
      <w:bookmarkEnd w:id="217"/>
      <w:bookmarkEnd w:id="218"/>
      <w:bookmarkEnd w:id="219"/>
    </w:p>
    <w:p w14:paraId="7B95DC72" w14:textId="77777777" w:rsidR="00066E33" w:rsidRDefault="00066E33" w:rsidP="00066E33">
      <w:pPr>
        <w:spacing w:line="276" w:lineRule="auto"/>
        <w:jc w:val="center"/>
        <w:rPr>
          <w:rFonts w:eastAsia="Arial" w:cs="Arial"/>
          <w:b/>
          <w:szCs w:val="22"/>
        </w:rPr>
      </w:pPr>
      <w:bookmarkStart w:id="221" w:name="_heading=h.f2vzitxj27ce" w:colFirst="0" w:colLast="0"/>
      <w:bookmarkEnd w:id="221"/>
    </w:p>
    <w:p w14:paraId="3F37024B" w14:textId="77777777" w:rsidR="00066E33" w:rsidRDefault="00066E33" w:rsidP="00066E33">
      <w:pPr>
        <w:spacing w:line="276" w:lineRule="auto"/>
        <w:jc w:val="center"/>
        <w:rPr>
          <w:rFonts w:eastAsia="Arial" w:cs="Arial"/>
          <w:szCs w:val="22"/>
        </w:rPr>
      </w:pPr>
      <w:r>
        <w:rPr>
          <w:rFonts w:eastAsia="Arial" w:cs="Arial"/>
          <w:szCs w:val="22"/>
        </w:rPr>
        <w:t>Présenté par</w:t>
      </w:r>
    </w:p>
    <w:p w14:paraId="3C5FBAE8" w14:textId="77777777" w:rsidR="00066E33" w:rsidRDefault="00066E33" w:rsidP="00066E33">
      <w:pPr>
        <w:spacing w:line="276" w:lineRule="auto"/>
        <w:jc w:val="center"/>
        <w:rPr>
          <w:rFonts w:eastAsia="Arial" w:cs="Arial"/>
          <w:szCs w:val="22"/>
        </w:rPr>
      </w:pPr>
      <w:r>
        <w:rPr>
          <w:rFonts w:eastAsia="Arial" w:cs="Arial"/>
          <w:szCs w:val="22"/>
        </w:rPr>
        <w:t>……...</w:t>
      </w:r>
    </w:p>
    <w:p w14:paraId="3F9230F2" w14:textId="77777777" w:rsidR="00066E33" w:rsidRDefault="00066E33" w:rsidP="00066E33">
      <w:pPr>
        <w:spacing w:line="276" w:lineRule="auto"/>
        <w:jc w:val="center"/>
        <w:rPr>
          <w:rFonts w:eastAsia="Arial" w:cs="Arial"/>
          <w:szCs w:val="22"/>
        </w:rPr>
      </w:pPr>
    </w:p>
    <w:p w14:paraId="666C8582" w14:textId="77777777" w:rsidR="00066E33" w:rsidRDefault="00066E33" w:rsidP="00066E33">
      <w:pPr>
        <w:spacing w:line="276" w:lineRule="auto"/>
        <w:jc w:val="center"/>
        <w:rPr>
          <w:rFonts w:eastAsia="Arial" w:cs="Arial"/>
          <w:szCs w:val="22"/>
        </w:rPr>
      </w:pPr>
      <w:r>
        <w:rPr>
          <w:rFonts w:eastAsia="Arial" w:cs="Arial"/>
          <w:szCs w:val="22"/>
        </w:rPr>
        <w:t xml:space="preserve">Article additionnel </w:t>
      </w:r>
    </w:p>
    <w:p w14:paraId="6C4AC502" w14:textId="77777777" w:rsidR="00066E33" w:rsidRDefault="00066E33" w:rsidP="00066E33">
      <w:pPr>
        <w:spacing w:line="276" w:lineRule="auto"/>
        <w:jc w:val="center"/>
        <w:rPr>
          <w:rFonts w:eastAsia="Arial" w:cs="Arial"/>
          <w:color w:val="0000FF"/>
          <w:szCs w:val="22"/>
        </w:rPr>
      </w:pPr>
      <w:r>
        <w:rPr>
          <w:rFonts w:eastAsia="Arial" w:cs="Arial"/>
          <w:szCs w:val="22"/>
        </w:rPr>
        <w:t>Après l’article 63, insérer un article supplémentaire ainsi rédigé :</w:t>
      </w:r>
    </w:p>
    <w:p w14:paraId="0B74D671" w14:textId="77777777" w:rsidR="00066E33" w:rsidRDefault="00066E33" w:rsidP="00066E33">
      <w:pPr>
        <w:rPr>
          <w:rFonts w:eastAsia="Arial" w:cs="Arial"/>
          <w:szCs w:val="22"/>
        </w:rPr>
      </w:pPr>
    </w:p>
    <w:p w14:paraId="1C535225" w14:textId="77777777" w:rsidR="00066E33" w:rsidRDefault="00066E33" w:rsidP="00066E33">
      <w:pPr>
        <w:rPr>
          <w:rFonts w:eastAsia="Arial" w:cs="Arial"/>
          <w:szCs w:val="22"/>
        </w:rPr>
      </w:pPr>
    </w:p>
    <w:p w14:paraId="4383058C" w14:textId="77777777" w:rsidR="00066E33" w:rsidRDefault="00066E33" w:rsidP="00066E33">
      <w:pPr>
        <w:jc w:val="both"/>
        <w:rPr>
          <w:rFonts w:eastAsia="Arial" w:cs="Arial"/>
          <w:szCs w:val="22"/>
        </w:rPr>
      </w:pPr>
      <w:r>
        <w:rPr>
          <w:rFonts w:eastAsia="Arial" w:cs="Arial"/>
          <w:szCs w:val="22"/>
        </w:rPr>
        <w:t>L’</w:t>
      </w:r>
      <w:proofErr w:type="spellStart"/>
      <w:r>
        <w:rPr>
          <w:rFonts w:eastAsia="Arial" w:cs="Arial"/>
          <w:szCs w:val="22"/>
        </w:rPr>
        <w:t>Etat</w:t>
      </w:r>
      <w:proofErr w:type="spellEnd"/>
      <w:r>
        <w:rPr>
          <w:rFonts w:eastAsia="Arial" w:cs="Arial"/>
          <w:szCs w:val="22"/>
        </w:rPr>
        <w:t xml:space="preserve"> met en place 6 mois après la promulgation de cette loi un observatoire de la fertilité des sols du territoire national portant notamment sur la composition, la teneur en nutriments, la teneur en matière organique et de l'ensemble des matières fertilisantes et supports de culture qui sont épandus sous différentes formes.</w:t>
      </w:r>
    </w:p>
    <w:p w14:paraId="147896DE" w14:textId="77777777" w:rsidR="00066E33" w:rsidRDefault="00066E33" w:rsidP="00066E33">
      <w:pPr>
        <w:jc w:val="both"/>
        <w:rPr>
          <w:rFonts w:eastAsia="Arial" w:cs="Arial"/>
          <w:szCs w:val="22"/>
        </w:rPr>
      </w:pPr>
    </w:p>
    <w:p w14:paraId="71406F4E" w14:textId="77777777" w:rsidR="00066E33" w:rsidRDefault="00066E33" w:rsidP="00066E33">
      <w:pPr>
        <w:jc w:val="both"/>
        <w:rPr>
          <w:rFonts w:eastAsia="Arial" w:cs="Arial"/>
          <w:szCs w:val="22"/>
        </w:rPr>
      </w:pPr>
      <w:r>
        <w:rPr>
          <w:rFonts w:eastAsia="Arial" w:cs="Arial"/>
          <w:szCs w:val="22"/>
        </w:rPr>
        <w:t>Sur la base des conclusions de cet observatoire et des nouvelles connaissances scientifiques acquises à cette date, l’</w:t>
      </w:r>
      <w:proofErr w:type="spellStart"/>
      <w:r>
        <w:rPr>
          <w:rFonts w:eastAsia="Arial" w:cs="Arial"/>
          <w:szCs w:val="22"/>
        </w:rPr>
        <w:t>Etat</w:t>
      </w:r>
      <w:proofErr w:type="spellEnd"/>
      <w:r>
        <w:rPr>
          <w:rFonts w:eastAsia="Arial" w:cs="Arial"/>
          <w:szCs w:val="22"/>
        </w:rPr>
        <w:t xml:space="preserve"> met à jour le décret relatif aux critères de qualité agronomique et d'innocuité selon les conditions d’usage pour les matières fertilisantes et les supports de culture, 5 ans après sa date d’entrée en vigueur.</w:t>
      </w:r>
    </w:p>
    <w:p w14:paraId="4FFAE711" w14:textId="77777777" w:rsidR="00066E33" w:rsidRDefault="00066E33" w:rsidP="00066E33">
      <w:pPr>
        <w:rPr>
          <w:rFonts w:eastAsia="Arial" w:cs="Arial"/>
          <w:szCs w:val="22"/>
        </w:rPr>
      </w:pPr>
    </w:p>
    <w:p w14:paraId="677F4805" w14:textId="77777777" w:rsidR="00066E33" w:rsidRDefault="00066E33" w:rsidP="00066E33">
      <w:pPr>
        <w:rPr>
          <w:rFonts w:eastAsia="Arial" w:cs="Arial"/>
          <w:szCs w:val="22"/>
        </w:rPr>
      </w:pPr>
    </w:p>
    <w:p w14:paraId="18FAE7A6" w14:textId="77777777" w:rsidR="00066E33" w:rsidRDefault="00066E33" w:rsidP="00066E33">
      <w:pPr>
        <w:pBdr>
          <w:top w:val="nil"/>
          <w:left w:val="nil"/>
          <w:bottom w:val="nil"/>
          <w:right w:val="nil"/>
          <w:between w:val="nil"/>
        </w:pBdr>
        <w:spacing w:line="276" w:lineRule="auto"/>
        <w:jc w:val="center"/>
        <w:rPr>
          <w:rFonts w:eastAsia="Arial" w:cs="Arial"/>
          <w:b/>
          <w:szCs w:val="22"/>
        </w:rPr>
      </w:pPr>
      <w:r>
        <w:rPr>
          <w:rFonts w:eastAsia="Arial" w:cs="Arial"/>
          <w:b/>
          <w:szCs w:val="22"/>
        </w:rPr>
        <w:t>Exposé sommaire</w:t>
      </w:r>
    </w:p>
    <w:p w14:paraId="6C957A22" w14:textId="77777777" w:rsidR="00066E33" w:rsidRDefault="00066E33" w:rsidP="00066E33">
      <w:pPr>
        <w:pBdr>
          <w:top w:val="nil"/>
          <w:left w:val="nil"/>
          <w:bottom w:val="nil"/>
          <w:right w:val="nil"/>
          <w:between w:val="nil"/>
        </w:pBdr>
        <w:spacing w:line="276" w:lineRule="auto"/>
        <w:jc w:val="center"/>
        <w:rPr>
          <w:rFonts w:eastAsia="Arial" w:cs="Arial"/>
          <w:b/>
          <w:szCs w:val="22"/>
        </w:rPr>
      </w:pPr>
    </w:p>
    <w:p w14:paraId="3D7B5859" w14:textId="77777777" w:rsidR="00066E33" w:rsidRDefault="00066E33" w:rsidP="00066E33">
      <w:pPr>
        <w:jc w:val="both"/>
        <w:rPr>
          <w:rFonts w:eastAsia="Arial" w:cs="Arial"/>
          <w:szCs w:val="22"/>
        </w:rPr>
      </w:pPr>
      <w:r>
        <w:rPr>
          <w:rFonts w:eastAsia="Arial" w:cs="Arial"/>
          <w:szCs w:val="22"/>
        </w:rPr>
        <w:t>Les sols ont de multiples fonctions : produire des aliments mais aussi réguler le cycle et la qualité de l'eau, stocker du carbone, recycler les matières organiques, entretenir la biodiversité, fournir des matières premières… Telles étaient les conclusions du rapport d’Alain Marois publiées fin 2019, insistant bien sur la nécessité pour les territoires de conserver des sols capables d’assurer ces fonctions environnementales, sociales et économiques.</w:t>
      </w:r>
    </w:p>
    <w:p w14:paraId="3FF91AAF" w14:textId="77777777" w:rsidR="00066E33" w:rsidRDefault="00066E33" w:rsidP="00066E33">
      <w:pPr>
        <w:jc w:val="both"/>
        <w:rPr>
          <w:rFonts w:eastAsia="Arial" w:cs="Arial"/>
          <w:szCs w:val="22"/>
        </w:rPr>
      </w:pPr>
    </w:p>
    <w:p w14:paraId="528188EF" w14:textId="77777777" w:rsidR="00066E33" w:rsidRDefault="00066E33" w:rsidP="00066E33">
      <w:pPr>
        <w:pBdr>
          <w:top w:val="nil"/>
          <w:left w:val="nil"/>
          <w:bottom w:val="nil"/>
          <w:right w:val="nil"/>
          <w:between w:val="nil"/>
        </w:pBdr>
        <w:jc w:val="both"/>
        <w:rPr>
          <w:rFonts w:eastAsia="Arial" w:cs="Arial"/>
          <w:szCs w:val="22"/>
        </w:rPr>
      </w:pPr>
      <w:r>
        <w:rPr>
          <w:rFonts w:eastAsia="Arial" w:cs="Arial"/>
          <w:szCs w:val="22"/>
        </w:rPr>
        <w:t>Si la connaissance des sols est encore imparfaite, les spécialistes s'accordent pour dire qu'il y a une dégradation de leur qualité et un appauvrissement.</w:t>
      </w:r>
    </w:p>
    <w:p w14:paraId="4E6F1F1A" w14:textId="77777777" w:rsidR="00066E33" w:rsidRDefault="00066E33" w:rsidP="00066E33">
      <w:pPr>
        <w:pBdr>
          <w:top w:val="nil"/>
          <w:left w:val="nil"/>
          <w:bottom w:val="nil"/>
          <w:right w:val="nil"/>
          <w:between w:val="nil"/>
        </w:pBdr>
        <w:jc w:val="both"/>
        <w:rPr>
          <w:rFonts w:eastAsia="Arial" w:cs="Arial"/>
          <w:szCs w:val="22"/>
        </w:rPr>
      </w:pPr>
    </w:p>
    <w:p w14:paraId="1808FFF7" w14:textId="77777777" w:rsidR="00066E33" w:rsidRDefault="00066E33" w:rsidP="00066E33">
      <w:pPr>
        <w:jc w:val="both"/>
        <w:rPr>
          <w:rFonts w:eastAsia="Arial" w:cs="Arial"/>
          <w:szCs w:val="22"/>
        </w:rPr>
      </w:pPr>
      <w:r>
        <w:rPr>
          <w:rFonts w:eastAsia="Arial" w:cs="Arial"/>
          <w:szCs w:val="22"/>
        </w:rPr>
        <w:t xml:space="preserve">Suite à la loi Anti gaspillage pour une économie circulaire, des travaux sont actuellement en cours pour élaborer un décret relatif aux critères de qualité agronomique et d'innocuité selon les conditions d’usage pour les matières fertilisantes et les supports de culture, dit “socle commun”, qui viendrait réglementer les matières utilisées à titre d’engrais et d’amendement. </w:t>
      </w:r>
    </w:p>
    <w:p w14:paraId="2C506034" w14:textId="77777777" w:rsidR="00066E33" w:rsidRDefault="00066E33" w:rsidP="00066E33">
      <w:pPr>
        <w:jc w:val="both"/>
        <w:rPr>
          <w:rFonts w:eastAsia="Arial" w:cs="Arial"/>
          <w:szCs w:val="22"/>
        </w:rPr>
      </w:pPr>
      <w:r>
        <w:rPr>
          <w:rFonts w:eastAsia="Arial" w:cs="Arial"/>
          <w:szCs w:val="22"/>
        </w:rPr>
        <w:t>Ces travaux nécessaires se heurtent à une connaissance encore trop partielle de l’état des sols en France, mais aussi de l’innocuité sanitaire et environnementale des pratiques de fertilisation et d’amendement, qui peuvent conduire à certaines décisions contre-productives sur le plan de la sécurité et de la préservation des sols.</w:t>
      </w:r>
    </w:p>
    <w:p w14:paraId="22876A95" w14:textId="77777777" w:rsidR="00066E33" w:rsidRDefault="00066E33" w:rsidP="00066E33">
      <w:pPr>
        <w:jc w:val="both"/>
        <w:rPr>
          <w:rFonts w:eastAsia="Arial" w:cs="Arial"/>
          <w:szCs w:val="22"/>
        </w:rPr>
      </w:pPr>
    </w:p>
    <w:p w14:paraId="401098BE" w14:textId="77777777" w:rsidR="00066E33" w:rsidRDefault="00066E33" w:rsidP="00066E33">
      <w:pPr>
        <w:jc w:val="both"/>
        <w:rPr>
          <w:rFonts w:eastAsia="Arial" w:cs="Arial"/>
          <w:szCs w:val="22"/>
        </w:rPr>
      </w:pPr>
      <w:r>
        <w:rPr>
          <w:rFonts w:eastAsia="Arial" w:cs="Arial"/>
          <w:szCs w:val="22"/>
        </w:rPr>
        <w:t>Les discussions ont ainsi mis en avant le manque d’un dispositif national d'acquisition et de compilation des connaissances sur l’état des sols pour inscrire ce “socle commun” d’innocuité des MFSC dans une logique de performance environnementale globale et d’amélioration continue.</w:t>
      </w:r>
    </w:p>
    <w:p w14:paraId="57C076DB" w14:textId="77777777" w:rsidR="00066E33" w:rsidRDefault="00066E33" w:rsidP="00066E33">
      <w:pPr>
        <w:rPr>
          <w:rFonts w:eastAsia="Arial" w:cs="Arial"/>
          <w:szCs w:val="22"/>
        </w:rPr>
      </w:pPr>
    </w:p>
    <w:p w14:paraId="0D9C947E" w14:textId="77777777" w:rsidR="00066E33" w:rsidRDefault="00066E33" w:rsidP="00066E33">
      <w:pPr>
        <w:rPr>
          <w:rFonts w:eastAsia="Arial" w:cs="Arial"/>
          <w:szCs w:val="22"/>
        </w:rPr>
      </w:pPr>
    </w:p>
    <w:p w14:paraId="4AF94C96" w14:textId="77777777" w:rsidR="00066E33" w:rsidRDefault="00066E33" w:rsidP="00066E33">
      <w:pPr>
        <w:rPr>
          <w:rFonts w:eastAsia="Arial" w:cs="Arial"/>
          <w:szCs w:val="22"/>
        </w:rPr>
      </w:pPr>
    </w:p>
    <w:p w14:paraId="58082383" w14:textId="58FBF3C7" w:rsidR="00066E33" w:rsidRDefault="00066E33">
      <w:pPr>
        <w:pBdr>
          <w:top w:val="none" w:sz="0" w:space="0" w:color="000000"/>
          <w:left w:val="none" w:sz="0" w:space="0" w:color="000000"/>
          <w:bottom w:val="none" w:sz="0" w:space="0" w:color="000000"/>
          <w:right w:val="none" w:sz="0" w:space="0" w:color="000000"/>
          <w:between w:val="none" w:sz="0" w:space="0" w:color="000000"/>
        </w:pBdr>
        <w:rPr>
          <w:rFonts w:eastAsia="Arial" w:cs="Arial"/>
          <w:b/>
          <w:color w:val="6EBC57"/>
          <w:sz w:val="28"/>
          <w:szCs w:val="22"/>
        </w:rPr>
      </w:pPr>
    </w:p>
    <w:p w14:paraId="4137139E" w14:textId="77777777" w:rsidR="00066E33" w:rsidRDefault="00066E33">
      <w:pPr>
        <w:pBdr>
          <w:top w:val="none" w:sz="0" w:space="0" w:color="000000"/>
          <w:left w:val="none" w:sz="0" w:space="0" w:color="000000"/>
          <w:bottom w:val="none" w:sz="0" w:space="0" w:color="000000"/>
          <w:right w:val="none" w:sz="0" w:space="0" w:color="000000"/>
          <w:between w:val="none" w:sz="0" w:space="0" w:color="000000"/>
        </w:pBdr>
        <w:rPr>
          <w:rFonts w:eastAsia="Arial" w:cs="Arial"/>
          <w:b/>
          <w:color w:val="6EBC57"/>
          <w:sz w:val="28"/>
          <w:szCs w:val="22"/>
        </w:rPr>
      </w:pPr>
      <w:r>
        <w:br w:type="page"/>
      </w:r>
    </w:p>
    <w:p w14:paraId="05BE64DC" w14:textId="30AEE940" w:rsidR="00501FB8" w:rsidRDefault="00F63BB8" w:rsidP="00C477A6">
      <w:pPr>
        <w:pStyle w:val="SECTION"/>
      </w:pPr>
      <w:bookmarkStart w:id="222" w:name="_Toc65687469"/>
      <w:r>
        <w:lastRenderedPageBreak/>
        <w:t xml:space="preserve">TITRE VI </w:t>
      </w:r>
      <w:r w:rsidR="00F46E87">
        <w:t xml:space="preserve">- </w:t>
      </w:r>
      <w:r>
        <w:t>RENFORCER LA PROTECTION JUDICIAIRE DE L'ENVIRONNEMENT</w:t>
      </w:r>
      <w:bookmarkEnd w:id="209"/>
      <w:bookmarkEnd w:id="222"/>
    </w:p>
    <w:p w14:paraId="742FFE7F" w14:textId="77777777" w:rsidR="00501FB8" w:rsidRDefault="00501FB8">
      <w:pPr>
        <w:jc w:val="center"/>
        <w:rPr>
          <w:rFonts w:eastAsia="Arial" w:cs="Arial"/>
          <w:szCs w:val="22"/>
        </w:rPr>
      </w:pPr>
    </w:p>
    <w:p w14:paraId="70433F47" w14:textId="77777777" w:rsidR="00501FB8" w:rsidRDefault="00501FB8">
      <w:pPr>
        <w:jc w:val="center"/>
        <w:rPr>
          <w:rFonts w:eastAsia="Arial" w:cs="Arial"/>
          <w:szCs w:val="22"/>
        </w:rPr>
      </w:pPr>
    </w:p>
    <w:p w14:paraId="080B7633" w14:textId="35CD1AD3" w:rsidR="00501FB8" w:rsidRPr="00F46E87" w:rsidRDefault="00F63BB8" w:rsidP="00F46E87">
      <w:pPr>
        <w:pStyle w:val="Sansinterligne"/>
        <w:rPr>
          <w:rFonts w:eastAsia="Arial" w:cs="Arial"/>
          <w:szCs w:val="22"/>
        </w:rPr>
      </w:pPr>
      <w:bookmarkStart w:id="223" w:name="_Toc65685041"/>
      <w:bookmarkStart w:id="224" w:name="_Toc65685686"/>
      <w:bookmarkStart w:id="225" w:name="_Toc65687470"/>
      <w:r>
        <w:rPr>
          <w:rFonts w:eastAsia="Arial" w:cs="Arial"/>
          <w:szCs w:val="22"/>
        </w:rPr>
        <w:t>Amendement n°</w:t>
      </w:r>
      <w:r w:rsidR="00C477A6">
        <w:rPr>
          <w:rFonts w:eastAsia="Arial" w:cs="Arial"/>
          <w:szCs w:val="22"/>
        </w:rPr>
        <w:t>2</w:t>
      </w:r>
      <w:r w:rsidR="006B77C2">
        <w:rPr>
          <w:rFonts w:eastAsia="Arial" w:cs="Arial"/>
          <w:szCs w:val="22"/>
        </w:rPr>
        <w:t>8</w:t>
      </w:r>
      <w:r>
        <w:rPr>
          <w:rFonts w:eastAsia="Arial" w:cs="Arial"/>
          <w:szCs w:val="22"/>
        </w:rPr>
        <w:t xml:space="preserve"> </w:t>
      </w:r>
      <w:r w:rsidR="00F46E87">
        <w:rPr>
          <w:rFonts w:eastAsia="Arial" w:cs="Arial"/>
          <w:szCs w:val="22"/>
        </w:rPr>
        <w:t>(P</w:t>
      </w:r>
      <w:r>
        <w:rPr>
          <w:rFonts w:eastAsia="Arial" w:cs="Arial"/>
          <w:szCs w:val="22"/>
        </w:rPr>
        <w:t>rioritair</w:t>
      </w:r>
      <w:r w:rsidR="00F46E87">
        <w:rPr>
          <w:rFonts w:eastAsia="Arial" w:cs="Arial"/>
          <w:szCs w:val="22"/>
        </w:rPr>
        <w:t xml:space="preserve">e) - </w:t>
      </w:r>
      <w:r>
        <w:rPr>
          <w:rFonts w:eastAsia="Arial"/>
        </w:rPr>
        <w:t>Créer une grande loi de financement de la transition écologique</w:t>
      </w:r>
      <w:bookmarkEnd w:id="223"/>
      <w:bookmarkEnd w:id="224"/>
      <w:bookmarkEnd w:id="225"/>
      <w:r>
        <w:rPr>
          <w:rFonts w:eastAsia="Arial"/>
        </w:rPr>
        <w:t xml:space="preserve"> </w:t>
      </w:r>
    </w:p>
    <w:p w14:paraId="3AC235DB"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rPr>
          <w:rFonts w:eastAsia="Arial" w:cs="Arial"/>
          <w:i/>
          <w:szCs w:val="22"/>
        </w:rPr>
      </w:pPr>
    </w:p>
    <w:p w14:paraId="4798D64B"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Arial" w:cs="Arial"/>
          <w:szCs w:val="22"/>
        </w:rPr>
      </w:pPr>
      <w:r>
        <w:rPr>
          <w:rFonts w:eastAsia="Arial" w:cs="Arial"/>
          <w:szCs w:val="22"/>
        </w:rPr>
        <w:t>Présenté par</w:t>
      </w:r>
    </w:p>
    <w:p w14:paraId="4D61DCE1"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Arial" w:cs="Arial"/>
          <w:szCs w:val="22"/>
        </w:rPr>
      </w:pPr>
      <w:r>
        <w:rPr>
          <w:rFonts w:eastAsia="Arial" w:cs="Arial"/>
          <w:szCs w:val="22"/>
        </w:rPr>
        <w:t>……...</w:t>
      </w:r>
    </w:p>
    <w:p w14:paraId="3E637137"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Arial" w:cs="Arial"/>
          <w:szCs w:val="22"/>
        </w:rPr>
      </w:pPr>
    </w:p>
    <w:p w14:paraId="07FB1DC8"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Arial" w:cs="Arial"/>
          <w:szCs w:val="22"/>
        </w:rPr>
      </w:pPr>
      <w:r>
        <w:rPr>
          <w:rFonts w:eastAsia="Arial" w:cs="Arial"/>
          <w:szCs w:val="22"/>
        </w:rPr>
        <w:t>Article additionnel</w:t>
      </w:r>
    </w:p>
    <w:p w14:paraId="47B22A1E" w14:textId="15F054F8" w:rsidR="00501FB8" w:rsidRDefault="00F63BB8">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eastAsia="Arial" w:cs="Arial"/>
          <w:b/>
          <w:szCs w:val="22"/>
          <w:u w:val="single"/>
        </w:rPr>
      </w:pPr>
      <w:r>
        <w:rPr>
          <w:rFonts w:eastAsia="Arial" w:cs="Arial"/>
          <w:szCs w:val="22"/>
        </w:rPr>
        <w:t>Après l’article 69, i</w:t>
      </w:r>
      <w:r w:rsidR="00F46E87">
        <w:rPr>
          <w:rFonts w:eastAsia="Arial" w:cs="Arial"/>
          <w:szCs w:val="22"/>
        </w:rPr>
        <w:t xml:space="preserve">nsérer un article supplémentaire ainsi rédigé </w:t>
      </w:r>
      <w:r>
        <w:rPr>
          <w:rFonts w:eastAsia="Arial" w:cs="Arial"/>
          <w:szCs w:val="22"/>
        </w:rPr>
        <w:t>:</w:t>
      </w:r>
    </w:p>
    <w:p w14:paraId="745EC774" w14:textId="62669F0B" w:rsidR="00501FB8" w:rsidRDefault="00F63BB8">
      <w:pPr>
        <w:pBdr>
          <w:top w:val="none" w:sz="0" w:space="0" w:color="000000"/>
          <w:left w:val="none" w:sz="0" w:space="0" w:color="000000"/>
          <w:bottom w:val="none" w:sz="0" w:space="0" w:color="000000"/>
          <w:right w:val="none" w:sz="0" w:space="0" w:color="000000"/>
          <w:between w:val="none" w:sz="0" w:space="0" w:color="000000"/>
        </w:pBdr>
        <w:rPr>
          <w:rFonts w:eastAsia="Arial" w:cs="Arial"/>
          <w:szCs w:val="22"/>
        </w:rPr>
      </w:pPr>
      <w:r>
        <w:rPr>
          <w:rFonts w:eastAsia="Arial" w:cs="Arial"/>
          <w:szCs w:val="22"/>
        </w:rPr>
        <w:t xml:space="preserve">  </w:t>
      </w:r>
    </w:p>
    <w:p w14:paraId="7316B236"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rPr>
          <w:rFonts w:eastAsia="Arial" w:cs="Arial"/>
          <w:szCs w:val="22"/>
        </w:rPr>
      </w:pPr>
      <w:r>
        <w:rPr>
          <w:rFonts w:eastAsia="Arial" w:cs="Arial"/>
          <w:szCs w:val="22"/>
        </w:rPr>
        <w:t>Avant le 1</w:t>
      </w:r>
      <w:r>
        <w:rPr>
          <w:rFonts w:eastAsia="Arial" w:cs="Arial"/>
          <w:szCs w:val="22"/>
          <w:vertAlign w:val="superscript"/>
        </w:rPr>
        <w:t>er</w:t>
      </w:r>
      <w:r>
        <w:rPr>
          <w:rFonts w:eastAsia="Arial" w:cs="Arial"/>
          <w:szCs w:val="22"/>
        </w:rPr>
        <w:t xml:space="preserve"> septembre 2022, puis tous les cinq ans, une loi détermine les objectifs et les priorités d’action de la fiscalité écologique. </w:t>
      </w:r>
    </w:p>
    <w:p w14:paraId="48BFB23C"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rPr>
          <w:rFonts w:eastAsia="Arial" w:cs="Arial"/>
          <w:szCs w:val="22"/>
        </w:rPr>
      </w:pPr>
      <w:r>
        <w:rPr>
          <w:rFonts w:eastAsia="Arial" w:cs="Arial"/>
          <w:szCs w:val="22"/>
        </w:rPr>
        <w:t xml:space="preserve"> </w:t>
      </w:r>
    </w:p>
    <w:p w14:paraId="7D2581EF"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rPr>
          <w:rFonts w:eastAsia="Arial" w:cs="Arial"/>
          <w:szCs w:val="22"/>
        </w:rPr>
      </w:pPr>
      <w:r>
        <w:rPr>
          <w:rFonts w:eastAsia="Arial" w:cs="Arial"/>
          <w:szCs w:val="22"/>
        </w:rPr>
        <w:t>Chaque loi prévue au premier alinéa précise :</w:t>
      </w:r>
    </w:p>
    <w:p w14:paraId="22F69B5F"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rPr>
          <w:rFonts w:eastAsia="Arial" w:cs="Arial"/>
          <w:szCs w:val="22"/>
        </w:rPr>
      </w:pPr>
      <w:r>
        <w:rPr>
          <w:rFonts w:eastAsia="Arial" w:cs="Arial"/>
          <w:szCs w:val="22"/>
        </w:rPr>
        <w:t>1° Le périmètre des taxes environnementales.</w:t>
      </w:r>
    </w:p>
    <w:p w14:paraId="69B35491"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rPr>
          <w:rFonts w:eastAsia="Arial" w:cs="Arial"/>
          <w:szCs w:val="22"/>
        </w:rPr>
      </w:pPr>
      <w:r>
        <w:rPr>
          <w:rFonts w:eastAsia="Arial" w:cs="Arial"/>
          <w:szCs w:val="22"/>
        </w:rPr>
        <w:t xml:space="preserve"> </w:t>
      </w:r>
    </w:p>
    <w:p w14:paraId="1FC01C57"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r>
        <w:rPr>
          <w:rFonts w:eastAsia="Arial" w:cs="Arial"/>
          <w:szCs w:val="22"/>
        </w:rPr>
        <w:t>2° Les objectifs visés par cette fiscalité, en cohérence avec les objectifs prévus aux articles L. 110-1 du code de l’environnement, L. 100-4 du code de l’énergie, L. 541-1 du code de l’environnement et L. 211-1 du code de l’environnement.</w:t>
      </w:r>
    </w:p>
    <w:p w14:paraId="280BEB08"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r>
        <w:rPr>
          <w:rFonts w:eastAsia="Arial" w:cs="Arial"/>
          <w:szCs w:val="22"/>
        </w:rPr>
        <w:t xml:space="preserve"> </w:t>
      </w:r>
    </w:p>
    <w:p w14:paraId="6C4458F0"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r>
        <w:rPr>
          <w:rFonts w:eastAsia="Arial" w:cs="Arial"/>
          <w:szCs w:val="22"/>
        </w:rPr>
        <w:t>3° Une trajectoire prévoyant les taux de chaque taxe environnementale pour une période d’au moins 5 ans. Elle indique à ce titre le montant des recettes anticipées pour chacune des taxes concernées, en tenant compte des différentes exemptions.</w:t>
      </w:r>
    </w:p>
    <w:p w14:paraId="1514D086"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r>
        <w:rPr>
          <w:rFonts w:eastAsia="Arial" w:cs="Arial"/>
          <w:szCs w:val="22"/>
        </w:rPr>
        <w:t xml:space="preserve"> </w:t>
      </w:r>
    </w:p>
    <w:p w14:paraId="5A90565B"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r>
        <w:rPr>
          <w:rFonts w:eastAsia="Arial" w:cs="Arial"/>
          <w:szCs w:val="22"/>
        </w:rPr>
        <w:t>4° Les grands principes d’affectation des recettes des taxes concernées, en cohérence avec les objectifs mentionnés au 2°, ces principes garantissent l’équité de la fiscalité écologique et la protection des ménages modestes et la territorialisation partielle de ces dispositifs.</w:t>
      </w:r>
    </w:p>
    <w:p w14:paraId="6E4DCB4E"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r>
        <w:rPr>
          <w:rFonts w:eastAsia="Arial" w:cs="Arial"/>
          <w:szCs w:val="22"/>
        </w:rPr>
        <w:t xml:space="preserve"> </w:t>
      </w:r>
    </w:p>
    <w:p w14:paraId="397D5EE8" w14:textId="3F843BDB" w:rsidR="00501FB8" w:rsidRPr="00F46E87" w:rsidRDefault="00F46E87">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szCs w:val="22"/>
        </w:rPr>
      </w:pPr>
      <w:r w:rsidRPr="00F46E87">
        <w:rPr>
          <w:rFonts w:eastAsia="Arial" w:cs="Arial"/>
          <w:b/>
          <w:szCs w:val="22"/>
        </w:rPr>
        <w:t>Exposé sommaire</w:t>
      </w:r>
    </w:p>
    <w:p w14:paraId="19AEAF98"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szCs w:val="22"/>
        </w:rPr>
      </w:pPr>
      <w:r>
        <w:rPr>
          <w:rFonts w:eastAsia="Arial" w:cs="Arial"/>
          <w:b/>
          <w:szCs w:val="22"/>
        </w:rPr>
        <w:t xml:space="preserve"> </w:t>
      </w:r>
    </w:p>
    <w:p w14:paraId="5D930E5E"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r>
        <w:rPr>
          <w:rFonts w:eastAsia="Arial" w:cs="Arial"/>
          <w:szCs w:val="22"/>
        </w:rPr>
        <w:t>La fiscalité écologique est un outil majeur de la transition écologique, qui doit permettre de donner un signal prix sur des comportements considérés comme polluants et de dégager des recettes permettant de développer des alternatives sur l’ensemble du territoire.</w:t>
      </w:r>
    </w:p>
    <w:p w14:paraId="6D9B162B"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rPr>
          <w:rFonts w:eastAsia="Arial" w:cs="Arial"/>
          <w:szCs w:val="22"/>
        </w:rPr>
      </w:pPr>
      <w:r>
        <w:rPr>
          <w:rFonts w:eastAsia="Arial" w:cs="Arial"/>
          <w:szCs w:val="22"/>
        </w:rPr>
        <w:t xml:space="preserve"> </w:t>
      </w:r>
    </w:p>
    <w:p w14:paraId="71AE70A5"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r>
        <w:rPr>
          <w:rFonts w:eastAsia="Arial" w:cs="Arial"/>
          <w:szCs w:val="22"/>
        </w:rPr>
        <w:t>Cet outil s’est considérablement développé ces dernières années, notamment avec la mise en place de la “taxe carbone”, qui représente aujourd’hui environ 8 milliards d’euros de recettes, ou de la taxe générale sur les activités polluantes. Cette dernière représente environ 450 millions d’euros de recettes mais représentera entre 800 millions et 1,4 milliard d’euros de recettes en 2025 avec l’augmentation prévue. De la même manière, la gestion de l’eau s’est organisée autour d’un modèle de fiscalité écologique intégralement affectée via les redevances. Ce modèle a été remis en question avec notamment le plafonnement du budget des agences de l’eau.</w:t>
      </w:r>
    </w:p>
    <w:p w14:paraId="4C24620D"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r>
        <w:rPr>
          <w:rFonts w:eastAsia="Arial" w:cs="Arial"/>
          <w:szCs w:val="22"/>
        </w:rPr>
        <w:t xml:space="preserve"> </w:t>
      </w:r>
    </w:p>
    <w:p w14:paraId="2AD26D28" w14:textId="77777777" w:rsidR="00501FB8" w:rsidRDefault="00F63BB8" w:rsidP="00F46E87">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r>
        <w:rPr>
          <w:rFonts w:eastAsia="Arial" w:cs="Arial"/>
          <w:szCs w:val="22"/>
        </w:rPr>
        <w:t xml:space="preserve">Le mouvement des gilets jaunes, qui a débouché sur la création de la Convention citoyenne pour le climat, s’est constitué en réaction à la hausse initialement prévue de la “taxe carbone” et a marqué un coup d’arrêt pour le développement de cet outil. </w:t>
      </w:r>
    </w:p>
    <w:p w14:paraId="65B2689A" w14:textId="77777777" w:rsidR="00501FB8" w:rsidRDefault="00501FB8" w:rsidP="00F46E87">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p>
    <w:p w14:paraId="0863CA52" w14:textId="77777777" w:rsidR="00501FB8" w:rsidRDefault="00F63BB8" w:rsidP="00F46E87">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r>
        <w:rPr>
          <w:rFonts w:eastAsia="Arial" w:cs="Arial"/>
          <w:szCs w:val="22"/>
        </w:rPr>
        <w:t xml:space="preserve">Son rejet massif par une partie des Français a mis en évidence le manque de transparence dans l’utilisation des recettes de la fiscalité écologique, le manque de dispositif incitatif en lien avec cette fiscalité et le manque de dispositifs de protection des Français les plus précaires. Cette fiscalité a ainsi été perçue comme incohérente et injustement punitive par une partie des </w:t>
      </w:r>
      <w:r>
        <w:rPr>
          <w:rFonts w:eastAsia="Arial" w:cs="Arial"/>
          <w:szCs w:val="22"/>
        </w:rPr>
        <w:lastRenderedPageBreak/>
        <w:t>Français, et a donc été considérée comme « une taxe de plus », visant essentiellement à dégager de nouvelles recettes sous couvert d’écologie.</w:t>
      </w:r>
    </w:p>
    <w:p w14:paraId="77554E41" w14:textId="77777777" w:rsidR="00501FB8" w:rsidRDefault="00501FB8" w:rsidP="00F46E87">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p>
    <w:p w14:paraId="1EA802BC" w14:textId="77777777" w:rsidR="00501FB8" w:rsidRDefault="00F63BB8" w:rsidP="00F46E87">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r>
        <w:rPr>
          <w:rFonts w:eastAsia="Arial" w:cs="Arial"/>
          <w:szCs w:val="22"/>
        </w:rPr>
        <w:t>Cette situation est particulièrement problématique au regard de l’urgence climatique. Elle pénalise par exemple les alternatives à l’utilisation des énergies fossiles (rénovation énergétique, énergies renouvelables...), qui auraient dû bénéficier d’un regain de compétitivité en raison de la hausse de la taxe carbone.</w:t>
      </w:r>
    </w:p>
    <w:p w14:paraId="2E7DA829" w14:textId="77777777" w:rsidR="00501FB8" w:rsidRDefault="00F63BB8" w:rsidP="00F46E87">
      <w:pPr>
        <w:pBdr>
          <w:top w:val="none" w:sz="0" w:space="0" w:color="000000"/>
          <w:left w:val="none" w:sz="0" w:space="0" w:color="000000"/>
          <w:bottom w:val="none" w:sz="0" w:space="0" w:color="000000"/>
          <w:right w:val="none" w:sz="0" w:space="0" w:color="000000"/>
          <w:between w:val="none" w:sz="0" w:space="0" w:color="000000"/>
        </w:pBdr>
        <w:jc w:val="both"/>
        <w:rPr>
          <w:rFonts w:eastAsia="Arial" w:cs="Arial"/>
          <w:szCs w:val="22"/>
        </w:rPr>
      </w:pPr>
      <w:r>
        <w:rPr>
          <w:rFonts w:eastAsia="Arial" w:cs="Arial"/>
          <w:szCs w:val="22"/>
        </w:rPr>
        <w:t xml:space="preserve"> </w:t>
      </w:r>
    </w:p>
    <w:p w14:paraId="25A8F9C6" w14:textId="77777777" w:rsidR="00501FB8" w:rsidRDefault="00F63BB8" w:rsidP="00F46E87">
      <w:pPr>
        <w:jc w:val="both"/>
        <w:rPr>
          <w:rFonts w:eastAsia="Arial" w:cs="Arial"/>
          <w:szCs w:val="22"/>
        </w:rPr>
      </w:pPr>
      <w:r>
        <w:rPr>
          <w:rFonts w:eastAsia="Arial" w:cs="Arial"/>
          <w:szCs w:val="22"/>
        </w:rPr>
        <w:t>Afin de pouvoir créer les conditions d’un débat apaisé sur le financement de la transition écologique, et d’éviter les accusations d’incohérence et de manque de transparence, cet amendement vise à créer une grande loi de financement de la transition écologique. Indispensable au regard de l’urgence climatique, cette loi viserait à refonder les règles d’une fiscalité écologique plus juste, plus efficace, plus incitative que punitive, plus cohérente et plus protectrice pour les Français.</w:t>
      </w:r>
      <w:r>
        <w:br w:type="page"/>
      </w:r>
    </w:p>
    <w:p w14:paraId="421F0A32" w14:textId="77A9C818" w:rsidR="00501FB8" w:rsidRPr="00F46E87" w:rsidRDefault="00F63BB8" w:rsidP="00F46E87">
      <w:pPr>
        <w:pStyle w:val="Sansinterligne"/>
        <w:rPr>
          <w:rFonts w:eastAsia="Arial" w:cs="Arial"/>
          <w:szCs w:val="22"/>
        </w:rPr>
      </w:pPr>
      <w:bookmarkStart w:id="226" w:name="_Toc65685042"/>
      <w:bookmarkStart w:id="227" w:name="_Toc65685687"/>
      <w:bookmarkStart w:id="228" w:name="_Toc65687471"/>
      <w:r>
        <w:rPr>
          <w:rFonts w:eastAsia="Arial" w:cs="Arial"/>
          <w:szCs w:val="22"/>
        </w:rPr>
        <w:lastRenderedPageBreak/>
        <w:t>Amendement n°</w:t>
      </w:r>
      <w:r w:rsidR="00C477A6">
        <w:rPr>
          <w:rFonts w:eastAsia="Arial" w:cs="Arial"/>
          <w:szCs w:val="22"/>
        </w:rPr>
        <w:t>2</w:t>
      </w:r>
      <w:r w:rsidR="006B77C2">
        <w:rPr>
          <w:rFonts w:eastAsia="Arial" w:cs="Arial"/>
          <w:szCs w:val="22"/>
        </w:rPr>
        <w:t>9</w:t>
      </w:r>
      <w:r w:rsidR="00F46E87">
        <w:rPr>
          <w:rFonts w:eastAsia="Arial" w:cs="Arial"/>
          <w:szCs w:val="22"/>
        </w:rPr>
        <w:t xml:space="preserve"> - </w:t>
      </w:r>
      <w:r w:rsidRPr="00F46E87">
        <w:rPr>
          <w:rFonts w:eastAsia="Arial"/>
        </w:rPr>
        <w:t>Rendre plus effective la verbalisation des dépôts sauvages</w:t>
      </w:r>
      <w:bookmarkEnd w:id="226"/>
      <w:bookmarkEnd w:id="227"/>
      <w:bookmarkEnd w:id="228"/>
    </w:p>
    <w:p w14:paraId="3BD6E759" w14:textId="77777777" w:rsidR="00501FB8" w:rsidRDefault="00501FB8">
      <w:pPr>
        <w:jc w:val="center"/>
        <w:rPr>
          <w:rFonts w:eastAsia="Arial" w:cs="Arial"/>
          <w:szCs w:val="22"/>
        </w:rPr>
      </w:pPr>
    </w:p>
    <w:p w14:paraId="3E760A3D" w14:textId="77777777" w:rsidR="00501FB8" w:rsidRDefault="00F63BB8">
      <w:pPr>
        <w:jc w:val="center"/>
        <w:rPr>
          <w:rFonts w:eastAsia="Arial" w:cs="Arial"/>
          <w:szCs w:val="22"/>
        </w:rPr>
      </w:pPr>
      <w:r>
        <w:rPr>
          <w:rFonts w:eastAsia="Arial" w:cs="Arial"/>
          <w:szCs w:val="22"/>
        </w:rPr>
        <w:t>Présenté par</w:t>
      </w:r>
    </w:p>
    <w:p w14:paraId="517395E2" w14:textId="77777777" w:rsidR="00501FB8" w:rsidRDefault="00F63BB8">
      <w:pPr>
        <w:jc w:val="center"/>
        <w:rPr>
          <w:rFonts w:eastAsia="Arial" w:cs="Arial"/>
          <w:szCs w:val="22"/>
        </w:rPr>
      </w:pPr>
      <w:r>
        <w:rPr>
          <w:rFonts w:eastAsia="Arial" w:cs="Arial"/>
          <w:szCs w:val="22"/>
        </w:rPr>
        <w:t>…..</w:t>
      </w:r>
    </w:p>
    <w:p w14:paraId="5A49E321" w14:textId="77777777" w:rsidR="00501FB8" w:rsidRDefault="00501FB8">
      <w:pPr>
        <w:jc w:val="center"/>
        <w:rPr>
          <w:rFonts w:eastAsia="Arial" w:cs="Arial"/>
          <w:b/>
          <w:szCs w:val="22"/>
        </w:rPr>
      </w:pPr>
    </w:p>
    <w:p w14:paraId="5F9B55A2" w14:textId="77777777" w:rsidR="00501FB8" w:rsidRDefault="00F63BB8">
      <w:pPr>
        <w:jc w:val="center"/>
        <w:rPr>
          <w:rFonts w:eastAsia="Arial" w:cs="Arial"/>
          <w:szCs w:val="22"/>
        </w:rPr>
      </w:pPr>
      <w:r>
        <w:rPr>
          <w:rFonts w:eastAsia="Arial" w:cs="Arial"/>
          <w:szCs w:val="22"/>
        </w:rPr>
        <w:t>Article additionnel</w:t>
      </w:r>
    </w:p>
    <w:p w14:paraId="6531103A" w14:textId="4AD4F141" w:rsidR="00501FB8" w:rsidRDefault="00F46E87">
      <w:pPr>
        <w:spacing w:line="276" w:lineRule="auto"/>
        <w:jc w:val="center"/>
        <w:rPr>
          <w:rFonts w:eastAsia="Arial" w:cs="Arial"/>
          <w:szCs w:val="22"/>
        </w:rPr>
      </w:pPr>
      <w:r>
        <w:rPr>
          <w:rFonts w:eastAsia="Arial" w:cs="Arial"/>
          <w:szCs w:val="22"/>
        </w:rPr>
        <w:t>A</w:t>
      </w:r>
      <w:r w:rsidR="00F63BB8">
        <w:rPr>
          <w:rFonts w:eastAsia="Arial" w:cs="Arial"/>
          <w:szCs w:val="22"/>
        </w:rPr>
        <w:t>près l’article 12, insérer un article</w:t>
      </w:r>
      <w:r>
        <w:rPr>
          <w:rFonts w:eastAsia="Arial" w:cs="Arial"/>
          <w:szCs w:val="22"/>
        </w:rPr>
        <w:t xml:space="preserve"> supplémentaire</w:t>
      </w:r>
      <w:r w:rsidR="00F63BB8">
        <w:rPr>
          <w:rFonts w:eastAsia="Arial" w:cs="Arial"/>
          <w:szCs w:val="22"/>
        </w:rPr>
        <w:t xml:space="preserve"> ainsi rédigé :</w:t>
      </w:r>
    </w:p>
    <w:p w14:paraId="26485BE3" w14:textId="77777777" w:rsidR="00501FB8" w:rsidRDefault="00501FB8">
      <w:pPr>
        <w:rPr>
          <w:rFonts w:eastAsia="Arial" w:cs="Arial"/>
          <w:szCs w:val="22"/>
        </w:rPr>
      </w:pPr>
    </w:p>
    <w:p w14:paraId="40F9CCA3" w14:textId="77777777" w:rsidR="00501FB8" w:rsidRDefault="00F63BB8">
      <w:pPr>
        <w:rPr>
          <w:rFonts w:eastAsia="Arial" w:cs="Arial"/>
          <w:szCs w:val="22"/>
        </w:rPr>
      </w:pPr>
      <w:r>
        <w:rPr>
          <w:rFonts w:eastAsia="Arial" w:cs="Arial"/>
          <w:szCs w:val="22"/>
        </w:rPr>
        <w:t>A l’article L. 541-44-1 du code de l’environnement, après les mots “des collectivités territoriales”, insérer “et leurs groupements”.</w:t>
      </w:r>
    </w:p>
    <w:p w14:paraId="4A2C5365" w14:textId="7398F807" w:rsidR="00501FB8" w:rsidRDefault="00501FB8">
      <w:pPr>
        <w:rPr>
          <w:rFonts w:eastAsia="Arial" w:cs="Arial"/>
          <w:szCs w:val="22"/>
        </w:rPr>
      </w:pPr>
    </w:p>
    <w:p w14:paraId="4E702B0A" w14:textId="77777777" w:rsidR="00F46E87" w:rsidRDefault="00F46E87">
      <w:pPr>
        <w:rPr>
          <w:rFonts w:eastAsia="Arial" w:cs="Arial"/>
          <w:szCs w:val="22"/>
        </w:rPr>
      </w:pPr>
    </w:p>
    <w:p w14:paraId="1287EB91" w14:textId="4B3D09D4" w:rsidR="00F46E87" w:rsidRDefault="00F46E87" w:rsidP="00F46E87">
      <w:pPr>
        <w:spacing w:line="276" w:lineRule="auto"/>
        <w:jc w:val="center"/>
        <w:rPr>
          <w:rFonts w:eastAsia="Arial" w:cs="Arial"/>
          <w:b/>
          <w:szCs w:val="22"/>
        </w:rPr>
      </w:pPr>
      <w:r w:rsidRPr="00F46E87">
        <w:rPr>
          <w:rFonts w:eastAsia="Arial" w:cs="Arial"/>
          <w:b/>
          <w:szCs w:val="22"/>
        </w:rPr>
        <w:t>Exposé sommaire</w:t>
      </w:r>
    </w:p>
    <w:p w14:paraId="7FAEE520" w14:textId="77777777" w:rsidR="00F46E87" w:rsidRPr="00F46E87" w:rsidRDefault="00F46E87" w:rsidP="00F46E87">
      <w:pPr>
        <w:spacing w:line="276" w:lineRule="auto"/>
        <w:jc w:val="center"/>
        <w:rPr>
          <w:rFonts w:eastAsia="Arial" w:cs="Arial"/>
          <w:b/>
          <w:szCs w:val="22"/>
        </w:rPr>
      </w:pPr>
    </w:p>
    <w:p w14:paraId="7DC535B7" w14:textId="77777777" w:rsidR="00501FB8" w:rsidRDefault="00F63BB8">
      <w:pPr>
        <w:pBdr>
          <w:top w:val="none" w:sz="0" w:space="0" w:color="000000"/>
          <w:left w:val="none" w:sz="0" w:space="0" w:color="000000"/>
          <w:bottom w:val="none" w:sz="0" w:space="0" w:color="000000"/>
          <w:right w:val="none" w:sz="0" w:space="0" w:color="000000"/>
          <w:between w:val="none" w:sz="0" w:space="0" w:color="000000"/>
        </w:pBdr>
        <w:jc w:val="both"/>
        <w:rPr>
          <w:rFonts w:eastAsia="Arial" w:cs="Arial"/>
          <w:b/>
          <w:sz w:val="46"/>
          <w:szCs w:val="46"/>
        </w:rPr>
      </w:pPr>
      <w:r>
        <w:rPr>
          <w:rFonts w:eastAsia="Arial" w:cs="Arial"/>
          <w:szCs w:val="22"/>
        </w:rPr>
        <w:t xml:space="preserve">La loi 10 février 2020 relative à la lutte contre le gaspillage et à l'économie circulaire a consacré un titre entier à la lutte contre les dépôts sauvages. Elle est venue apporter de nombreuses évolutions afin de doter les acteurs sur le terrain de moyens d’agir. Un des points concerne les agents pouvant verbaliser ces actes d’incivisme. Aussi la loi est venue ouvrir la liste des agents pouvant verbaliser avec pour objectif que les agents des communes, des établissements publics de coopération intercommunale puissent agir. Néanmoins, une erreur de forme vient réduire cette avancée. Cet amendement vise donc juste à corriger cette disposition afin qu’elle soit conforme avec l’esprit de la loi. </w:t>
      </w:r>
    </w:p>
    <w:p w14:paraId="11AAA080" w14:textId="77777777" w:rsidR="00501FB8" w:rsidRDefault="00501FB8">
      <w:pPr>
        <w:pBdr>
          <w:top w:val="none" w:sz="0" w:space="0" w:color="000000"/>
          <w:left w:val="none" w:sz="0" w:space="0" w:color="000000"/>
          <w:bottom w:val="none" w:sz="0" w:space="0" w:color="000000"/>
          <w:right w:val="none" w:sz="0" w:space="0" w:color="000000"/>
          <w:between w:val="none" w:sz="0" w:space="0" w:color="000000"/>
        </w:pBdr>
        <w:jc w:val="center"/>
        <w:rPr>
          <w:rFonts w:eastAsia="Arial" w:cs="Arial"/>
          <w:b/>
          <w:szCs w:val="22"/>
        </w:rPr>
      </w:pPr>
    </w:p>
    <w:p w14:paraId="59DBFB15" w14:textId="77777777" w:rsidR="00501FB8" w:rsidRDefault="00501FB8">
      <w:pPr>
        <w:jc w:val="center"/>
        <w:rPr>
          <w:rFonts w:eastAsia="Arial" w:cs="Arial"/>
          <w:b/>
          <w:szCs w:val="22"/>
        </w:rPr>
      </w:pPr>
    </w:p>
    <w:p w14:paraId="673C3163" w14:textId="77777777" w:rsidR="00501FB8" w:rsidRDefault="00501FB8">
      <w:pPr>
        <w:spacing w:line="276" w:lineRule="auto"/>
        <w:rPr>
          <w:rFonts w:eastAsia="Arial" w:cs="Arial"/>
          <w:b/>
          <w:szCs w:val="22"/>
        </w:rPr>
      </w:pPr>
    </w:p>
    <w:p w14:paraId="0B3F9E3A" w14:textId="77777777" w:rsidR="00501FB8" w:rsidRDefault="00F63BB8">
      <w:pPr>
        <w:pBdr>
          <w:top w:val="nil"/>
          <w:left w:val="nil"/>
          <w:bottom w:val="nil"/>
          <w:right w:val="nil"/>
          <w:between w:val="nil"/>
        </w:pBdr>
        <w:rPr>
          <w:rFonts w:eastAsia="Arial" w:cs="Arial"/>
          <w:b/>
          <w:szCs w:val="22"/>
        </w:rPr>
      </w:pPr>
      <w:r>
        <w:rPr>
          <w:rFonts w:eastAsia="Arial" w:cs="Arial"/>
          <w:noProof/>
          <w:szCs w:val="22"/>
        </w:rPr>
        <w:drawing>
          <wp:anchor distT="0" distB="0" distL="114300" distR="114300" simplePos="0" relativeHeight="251659264" behindDoc="0" locked="0" layoutInCell="1" hidden="0" allowOverlap="1" wp14:anchorId="6CA9560E" wp14:editId="37574B73">
            <wp:simplePos x="0" y="0"/>
            <wp:positionH relativeFrom="margin">
              <wp:posOffset>-439</wp:posOffset>
            </wp:positionH>
            <wp:positionV relativeFrom="margin">
              <wp:posOffset>8844776</wp:posOffset>
            </wp:positionV>
            <wp:extent cx="1095375" cy="297180"/>
            <wp:effectExtent l="0" t="0" r="0" b="0"/>
            <wp:wrapSquare wrapText="bothSides" distT="0" distB="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1095375" cy="297180"/>
                    </a:xfrm>
                    <a:prstGeom prst="rect">
                      <a:avLst/>
                    </a:prstGeom>
                    <a:ln/>
                  </pic:spPr>
                </pic:pic>
              </a:graphicData>
            </a:graphic>
          </wp:anchor>
        </w:drawing>
      </w:r>
    </w:p>
    <w:sectPr w:rsidR="00501FB8">
      <w:footerReference w:type="even" r:id="rId14"/>
      <w:footerReference w:type="default" r:id="rId15"/>
      <w:footerReference w:type="first" r:id="rId16"/>
      <w:pgSz w:w="11900" w:h="16840"/>
      <w:pgMar w:top="1417" w:right="1417" w:bottom="993" w:left="1417" w:header="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46436" w14:textId="77777777" w:rsidR="00DA120B" w:rsidRDefault="00DA120B">
      <w:r>
        <w:separator/>
      </w:r>
    </w:p>
  </w:endnote>
  <w:endnote w:type="continuationSeparator" w:id="0">
    <w:p w14:paraId="17A660C7" w14:textId="77777777" w:rsidR="00DA120B" w:rsidRDefault="00DA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Std 45 Light">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Georgia">
    <w:altName w:val="﷽﷽﷽﷽﷽﷽﷽﷽ε怀"/>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Isidora SemiBold">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10F3F" w14:textId="77777777" w:rsidR="00DC248C" w:rsidRDefault="00DC248C">
    <w:pPr>
      <w:pBdr>
        <w:top w:val="nil"/>
        <w:left w:val="nil"/>
        <w:bottom w:val="nil"/>
        <w:right w:val="nil"/>
        <w:between w:val="nil"/>
      </w:pBdr>
      <w:tabs>
        <w:tab w:val="center" w:pos="4536"/>
        <w:tab w:val="right" w:pos="9072"/>
      </w:tabs>
      <w:jc w:val="right"/>
      <w:rPr>
        <w:rFonts w:ascii="Cambria" w:eastAsia="Cambria" w:hAnsi="Cambria" w:cs="Cambria"/>
        <w:color w:val="000000"/>
      </w:rPr>
    </w:pPr>
  </w:p>
  <w:p w14:paraId="0D12A5AD" w14:textId="77777777" w:rsidR="00DC248C" w:rsidRDefault="00DC248C">
    <w:pPr>
      <w:pBdr>
        <w:top w:val="nil"/>
        <w:left w:val="nil"/>
        <w:bottom w:val="nil"/>
        <w:right w:val="nil"/>
        <w:between w:val="nil"/>
      </w:pBdr>
      <w:tabs>
        <w:tab w:val="center" w:pos="4536"/>
        <w:tab w:val="right" w:pos="9072"/>
      </w:tabs>
      <w:ind w:right="360"/>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end"/>
    </w:r>
  </w:p>
  <w:p w14:paraId="1F6AA3C2" w14:textId="77777777" w:rsidR="00DC248C" w:rsidRDefault="00DC248C">
    <w:pPr>
      <w:pBdr>
        <w:top w:val="nil"/>
        <w:left w:val="nil"/>
        <w:bottom w:val="nil"/>
        <w:right w:val="nil"/>
        <w:between w:val="nil"/>
      </w:pBdr>
      <w:tabs>
        <w:tab w:val="center" w:pos="4536"/>
        <w:tab w:val="right" w:pos="9072"/>
      </w:tabs>
      <w:spacing w:after="720"/>
      <w:ind w:right="360"/>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1AF25" w14:textId="77777777" w:rsidR="00DC248C" w:rsidRDefault="00DC248C">
    <w:pPr>
      <w:pBdr>
        <w:top w:val="nil"/>
        <w:left w:val="nil"/>
        <w:bottom w:val="nil"/>
        <w:right w:val="nil"/>
        <w:between w:val="nil"/>
      </w:pBdr>
      <w:tabs>
        <w:tab w:val="center" w:pos="4536"/>
        <w:tab w:val="right" w:pos="9072"/>
      </w:tabs>
      <w:jc w:val="right"/>
      <w:rPr>
        <w:rFonts w:eastAsia="Arial" w:cs="Arial"/>
        <w:color w:val="000000"/>
        <w:sz w:val="18"/>
        <w:szCs w:val="18"/>
      </w:rPr>
    </w:pPr>
    <w:r>
      <w:rPr>
        <w:rFonts w:eastAsia="Arial" w:cs="Arial"/>
        <w:color w:val="000000"/>
        <w:sz w:val="18"/>
        <w:szCs w:val="18"/>
      </w:rPr>
      <w:fldChar w:fldCharType="begin"/>
    </w:r>
    <w:r>
      <w:rPr>
        <w:rFonts w:eastAsia="Arial" w:cs="Arial"/>
        <w:color w:val="000000"/>
        <w:sz w:val="18"/>
        <w:szCs w:val="18"/>
      </w:rPr>
      <w:instrText>PAGE</w:instrText>
    </w:r>
    <w:r>
      <w:rPr>
        <w:rFonts w:eastAsia="Arial" w:cs="Arial"/>
        <w:color w:val="000000"/>
        <w:sz w:val="18"/>
        <w:szCs w:val="18"/>
      </w:rPr>
      <w:fldChar w:fldCharType="separate"/>
    </w:r>
    <w:r>
      <w:rPr>
        <w:rFonts w:eastAsia="Arial" w:cs="Arial"/>
        <w:noProof/>
        <w:color w:val="000000"/>
        <w:sz w:val="18"/>
        <w:szCs w:val="18"/>
      </w:rPr>
      <w:t>1</w:t>
    </w:r>
    <w:r>
      <w:rPr>
        <w:rFonts w:eastAsia="Arial" w:cs="Arial"/>
        <w:color w:val="000000"/>
        <w:sz w:val="18"/>
        <w:szCs w:val="18"/>
      </w:rPr>
      <w:fldChar w:fldCharType="end"/>
    </w:r>
  </w:p>
  <w:p w14:paraId="0B88FC1B" w14:textId="77777777" w:rsidR="00DC248C" w:rsidRDefault="00DC248C">
    <w:pPr>
      <w:pBdr>
        <w:top w:val="single" w:sz="4" w:space="1" w:color="000000"/>
        <w:left w:val="none" w:sz="0" w:space="0" w:color="000000"/>
        <w:bottom w:val="none" w:sz="0" w:space="0" w:color="000000"/>
        <w:right w:val="none" w:sz="0" w:space="0" w:color="000000"/>
        <w:between w:val="none" w:sz="0" w:space="0" w:color="000000"/>
      </w:pBdr>
      <w:tabs>
        <w:tab w:val="center" w:pos="4536"/>
        <w:tab w:val="right" w:pos="9072"/>
      </w:tabs>
      <w:ind w:right="360"/>
      <w:rPr>
        <w:rFonts w:eastAsia="Arial" w:cs="Arial"/>
        <w:color w:val="000000"/>
        <w:sz w:val="16"/>
        <w:szCs w:val="16"/>
      </w:rPr>
    </w:pPr>
  </w:p>
  <w:p w14:paraId="213C4D3C" w14:textId="56A58E89" w:rsidR="00DC248C" w:rsidRDefault="00DC248C" w:rsidP="00B3005A">
    <w:pPr>
      <w:pBdr>
        <w:top w:val="single" w:sz="4" w:space="1" w:color="000000"/>
        <w:left w:val="none" w:sz="0" w:space="0" w:color="000000"/>
        <w:bottom w:val="none" w:sz="0" w:space="0" w:color="000000"/>
        <w:right w:val="none" w:sz="0" w:space="0" w:color="000000"/>
        <w:between w:val="none" w:sz="0" w:space="0" w:color="000000"/>
      </w:pBdr>
      <w:tabs>
        <w:tab w:val="center" w:pos="4536"/>
        <w:tab w:val="right" w:pos="9072"/>
      </w:tabs>
      <w:ind w:right="360"/>
      <w:jc w:val="center"/>
      <w:rPr>
        <w:rFonts w:eastAsia="Arial" w:cs="Arial"/>
        <w:color w:val="000000"/>
        <w:sz w:val="16"/>
        <w:szCs w:val="16"/>
      </w:rPr>
    </w:pPr>
    <w:r>
      <w:rPr>
        <w:rFonts w:eastAsia="Arial" w:cs="Arial"/>
        <w:color w:val="000000"/>
        <w:sz w:val="16"/>
        <w:szCs w:val="16"/>
      </w:rPr>
      <w:t>Contact : rjacquet@amorce.asso.fr – 06 11 43 78 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E03E4" w14:textId="77777777" w:rsidR="00DC248C" w:rsidRDefault="00DC248C">
    <w:pPr>
      <w:pBdr>
        <w:top w:val="nil"/>
        <w:left w:val="nil"/>
        <w:bottom w:val="nil"/>
        <w:right w:val="nil"/>
        <w:between w:val="nil"/>
      </w:pBdr>
      <w:tabs>
        <w:tab w:val="center" w:pos="4536"/>
        <w:tab w:val="right" w:pos="9072"/>
      </w:tabs>
      <w:ind w:right="360"/>
      <w:rPr>
        <w:rFonts w:eastAsia="Arial" w:cs="Arial"/>
        <w:color w:val="000000"/>
        <w:sz w:val="16"/>
        <w:szCs w:val="16"/>
      </w:rPr>
    </w:pPr>
  </w:p>
  <w:p w14:paraId="78780F27" w14:textId="77777777" w:rsidR="00DC248C" w:rsidRDefault="00DC248C">
    <w:pPr>
      <w:pBdr>
        <w:top w:val="nil"/>
        <w:left w:val="nil"/>
        <w:bottom w:val="nil"/>
        <w:right w:val="nil"/>
        <w:between w:val="nil"/>
      </w:pBdr>
      <w:tabs>
        <w:tab w:val="center" w:pos="4536"/>
        <w:tab w:val="right" w:pos="9072"/>
      </w:tabs>
      <w:ind w:right="360"/>
      <w:rPr>
        <w:rFonts w:eastAsia="Arial" w:cs="Arial"/>
        <w:color w:val="000000"/>
        <w:sz w:val="16"/>
        <w:szCs w:val="16"/>
      </w:rPr>
    </w:pPr>
    <w:r>
      <w:rPr>
        <w:rFonts w:eastAsia="Arial" w:cs="Arial"/>
        <w:color w:val="000000"/>
        <w:sz w:val="16"/>
        <w:szCs w:val="16"/>
      </w:rPr>
      <w:t xml:space="preserve"> Amorce – 18 rue Gabriel </w:t>
    </w:r>
    <w:proofErr w:type="spellStart"/>
    <w:r>
      <w:rPr>
        <w:rFonts w:eastAsia="Arial" w:cs="Arial"/>
        <w:color w:val="000000"/>
        <w:sz w:val="16"/>
        <w:szCs w:val="16"/>
      </w:rPr>
      <w:t>Peri</w:t>
    </w:r>
    <w:proofErr w:type="spellEnd"/>
    <w:r>
      <w:rPr>
        <w:rFonts w:eastAsia="Arial" w:cs="Arial"/>
        <w:color w:val="000000"/>
        <w:sz w:val="16"/>
        <w:szCs w:val="16"/>
      </w:rPr>
      <w:t xml:space="preserve"> – 69100 Villeurbanne – tél. 04 72 74 09 77 – amorce@amorce.asso.fr</w:t>
    </w:r>
    <w:r>
      <w:rPr>
        <w:noProof/>
      </w:rPr>
      <w:drawing>
        <wp:anchor distT="0" distB="0" distL="114300" distR="114300" simplePos="0" relativeHeight="251658240" behindDoc="0" locked="0" layoutInCell="1" hidden="0" allowOverlap="1" wp14:anchorId="3BBE9D92" wp14:editId="1AAFD125">
          <wp:simplePos x="0" y="0"/>
          <wp:positionH relativeFrom="column">
            <wp:posOffset>-497142</wp:posOffset>
          </wp:positionH>
          <wp:positionV relativeFrom="paragraph">
            <wp:posOffset>0</wp:posOffset>
          </wp:positionV>
          <wp:extent cx="835660" cy="3200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5660" cy="320040"/>
                  </a:xfrm>
                  <a:prstGeom prst="rect">
                    <a:avLst/>
                  </a:prstGeom>
                  <a:ln/>
                </pic:spPr>
              </pic:pic>
            </a:graphicData>
          </a:graphic>
        </wp:anchor>
      </w:drawing>
    </w:r>
  </w:p>
  <w:p w14:paraId="30EA3664" w14:textId="77777777" w:rsidR="00DC248C" w:rsidRDefault="00DC248C">
    <w:pPr>
      <w:pBdr>
        <w:top w:val="nil"/>
        <w:left w:val="nil"/>
        <w:bottom w:val="nil"/>
        <w:right w:val="nil"/>
        <w:between w:val="nil"/>
      </w:pBdr>
      <w:tabs>
        <w:tab w:val="center" w:pos="4536"/>
        <w:tab w:val="right" w:pos="9072"/>
      </w:tabs>
      <w:jc w:val="right"/>
      <w:rPr>
        <w:rFonts w:ascii="Cambria" w:eastAsia="Cambria" w:hAnsi="Cambria" w:cs="Cambria"/>
        <w:color w:val="000000"/>
      </w:rPr>
    </w:pPr>
    <w:r>
      <w:rPr>
        <w:rFonts w:ascii="Cambria" w:eastAsia="Cambria" w:hAnsi="Cambria" w:cs="Cambria"/>
        <w:color w:val="00000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33F6C" w14:textId="77777777" w:rsidR="00DA120B" w:rsidRDefault="00DA120B">
      <w:r>
        <w:separator/>
      </w:r>
    </w:p>
  </w:footnote>
  <w:footnote w:type="continuationSeparator" w:id="0">
    <w:p w14:paraId="26A57F85" w14:textId="77777777" w:rsidR="00DA120B" w:rsidRDefault="00DA1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04619"/>
    <w:multiLevelType w:val="multilevel"/>
    <w:tmpl w:val="C10A1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E957CC5"/>
    <w:multiLevelType w:val="multilevel"/>
    <w:tmpl w:val="CA3CD7BC"/>
    <w:lvl w:ilvl="0">
      <w:start w:val="1"/>
      <w:numFmt w:val="decimal"/>
      <w:lvlText w:val="%1."/>
      <w:lvlJc w:val="left"/>
      <w:pPr>
        <w:ind w:left="720" w:hanging="360"/>
      </w:pPr>
      <w:rPr>
        <w:rFonts w:ascii="Arial" w:eastAsia="Arial" w:hAnsi="Arial" w:cs="Arial"/>
        <w:b/>
        <w:color w:val="6EBC57"/>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3E37E5C"/>
    <w:multiLevelType w:val="multilevel"/>
    <w:tmpl w:val="A4EED3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441195E"/>
    <w:multiLevelType w:val="multilevel"/>
    <w:tmpl w:val="C5B43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FB8"/>
    <w:rsid w:val="00066E33"/>
    <w:rsid w:val="0032659D"/>
    <w:rsid w:val="00341D73"/>
    <w:rsid w:val="004A01B6"/>
    <w:rsid w:val="00501FB8"/>
    <w:rsid w:val="00503E7B"/>
    <w:rsid w:val="005F507C"/>
    <w:rsid w:val="006B77C2"/>
    <w:rsid w:val="00712FB0"/>
    <w:rsid w:val="007A6351"/>
    <w:rsid w:val="00801730"/>
    <w:rsid w:val="00922F0C"/>
    <w:rsid w:val="00B3005A"/>
    <w:rsid w:val="00B71608"/>
    <w:rsid w:val="00C477A6"/>
    <w:rsid w:val="00C95F35"/>
    <w:rsid w:val="00D32792"/>
    <w:rsid w:val="00D6213E"/>
    <w:rsid w:val="00D71AC3"/>
    <w:rsid w:val="00DA120B"/>
    <w:rsid w:val="00DC0716"/>
    <w:rsid w:val="00DC248C"/>
    <w:rsid w:val="00F46E87"/>
    <w:rsid w:val="00F63B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600AC2E"/>
  <w15:docId w15:val="{BC8E8A5D-5E47-F444-BF8A-3BAAB5E7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fr-FR" w:eastAsia="fr-FR"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E7B"/>
    <w:pPr>
      <w:pBdr>
        <w:top w:val="none" w:sz="0" w:space="0" w:color="auto"/>
        <w:left w:val="none" w:sz="0" w:space="0" w:color="auto"/>
        <w:bottom w:val="none" w:sz="0" w:space="0" w:color="auto"/>
        <w:right w:val="none" w:sz="0" w:space="0" w:color="auto"/>
        <w:between w:val="none" w:sz="0" w:space="0" w:color="auto"/>
      </w:pBdr>
    </w:pPr>
    <w:rPr>
      <w:rFonts w:ascii="Arial" w:hAnsi="Arial"/>
      <w:sz w:val="22"/>
    </w:rPr>
  </w:style>
  <w:style w:type="paragraph" w:styleId="Titre1">
    <w:name w:val="heading 1"/>
    <w:basedOn w:val="Normal1"/>
    <w:next w:val="Normal1"/>
    <w:uiPriority w:val="9"/>
    <w:qFormat/>
    <w:pPr>
      <w:keepNext/>
      <w:keepLines/>
      <w:spacing w:before="480"/>
      <w:jc w:val="center"/>
      <w:outlineLvl w:val="0"/>
    </w:pPr>
    <w:rPr>
      <w:rFonts w:ascii="Frutiger LT Std 45 Light" w:eastAsia="Frutiger LT Std 45 Light" w:hAnsi="Frutiger LT Std 45 Light" w:cs="Frutiger LT Std 45 Light"/>
      <w:b/>
    </w:rPr>
  </w:style>
  <w:style w:type="paragraph" w:styleId="Titre2">
    <w:name w:val="heading 2"/>
    <w:basedOn w:val="Normal1"/>
    <w:next w:val="Normal1"/>
    <w:uiPriority w:val="9"/>
    <w:unhideWhenUsed/>
    <w:qFormat/>
    <w:pPr>
      <w:keepNext/>
      <w:keepLines/>
      <w:spacing w:before="200"/>
      <w:jc w:val="center"/>
      <w:outlineLvl w:val="1"/>
    </w:pPr>
    <w:rPr>
      <w:b/>
      <w:i/>
    </w:rPr>
  </w:style>
  <w:style w:type="paragraph" w:styleId="Titre3">
    <w:name w:val="heading 3"/>
    <w:basedOn w:val="Normal1"/>
    <w:next w:val="Normal1"/>
    <w:uiPriority w:val="9"/>
    <w:semiHidden/>
    <w:unhideWhenUsed/>
    <w:qFormat/>
    <w:pPr>
      <w:keepNext/>
      <w:keepLines/>
      <w:spacing w:before="200"/>
      <w:outlineLvl w:val="2"/>
    </w:pPr>
    <w:rPr>
      <w:rFonts w:ascii="Calibri" w:eastAsia="Calibri" w:hAnsi="Calibri" w:cs="Calibri"/>
      <w:b/>
      <w:color w:val="4F81BD"/>
    </w:rPr>
  </w:style>
  <w:style w:type="paragraph" w:styleId="Titre4">
    <w:name w:val="heading 4"/>
    <w:basedOn w:val="Normal1"/>
    <w:next w:val="Normal1"/>
    <w:uiPriority w:val="9"/>
    <w:semiHidden/>
    <w:unhideWhenUsed/>
    <w:qFormat/>
    <w:pPr>
      <w:keepNext/>
      <w:keepLines/>
      <w:spacing w:before="240" w:after="40"/>
      <w:outlineLvl w:val="3"/>
    </w:pPr>
    <w:rPr>
      <w:b/>
    </w:rPr>
  </w:style>
  <w:style w:type="paragraph" w:styleId="Titre5">
    <w:name w:val="heading 5"/>
    <w:basedOn w:val="Normal1"/>
    <w:next w:val="Normal1"/>
    <w:uiPriority w:val="9"/>
    <w:semiHidden/>
    <w:unhideWhenUsed/>
    <w:qFormat/>
    <w:pPr>
      <w:keepNext/>
      <w:keepLines/>
      <w:spacing w:before="220" w:after="40"/>
      <w:outlineLvl w:val="4"/>
    </w:pPr>
    <w:rPr>
      <w:b/>
      <w:sz w:val="22"/>
      <w:szCs w:val="22"/>
    </w:rPr>
  </w:style>
  <w:style w:type="paragraph" w:styleId="Titre6">
    <w:name w:val="heading 6"/>
    <w:basedOn w:val="Normal1"/>
    <w:next w:val="Normal1"/>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uiPriority w:val="10"/>
    <w:qFormat/>
    <w:pPr>
      <w:keepNext/>
      <w:keepLines/>
      <w:spacing w:before="480" w:after="120"/>
    </w:pPr>
    <w:rPr>
      <w:b/>
      <w:sz w:val="72"/>
      <w:szCs w:val="72"/>
    </w:rPr>
  </w:style>
  <w:style w:type="paragraph" w:customStyle="1" w:styleId="Normal1">
    <w:name w:val="Normal1"/>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edebulles">
    <w:name w:val="Balloon Text"/>
    <w:basedOn w:val="Normal"/>
    <w:link w:val="TextedebullesCar"/>
    <w:uiPriority w:val="99"/>
    <w:semiHidden/>
    <w:unhideWhenUsed/>
    <w:rsid w:val="00300F8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00F88"/>
    <w:rPr>
      <w:rFonts w:ascii="Lucida Grande" w:hAnsi="Lucida Grande" w:cs="Lucida Grande"/>
      <w:sz w:val="18"/>
      <w:szCs w:val="18"/>
    </w:rPr>
  </w:style>
  <w:style w:type="paragraph" w:styleId="TM1">
    <w:name w:val="toc 1"/>
    <w:basedOn w:val="Normal"/>
    <w:next w:val="Normal"/>
    <w:autoRedefine/>
    <w:uiPriority w:val="39"/>
    <w:unhideWhenUsed/>
    <w:rsid w:val="00DC248C"/>
    <w:pPr>
      <w:tabs>
        <w:tab w:val="right" w:leader="dot" w:pos="9056"/>
      </w:tabs>
      <w:spacing w:before="120" w:after="120"/>
    </w:pPr>
    <w:rPr>
      <w:rFonts w:cs="Arial"/>
      <w:b/>
      <w:bCs/>
      <w:caps/>
      <w:noProof/>
      <w:color w:val="1F497D" w:themeColor="text2"/>
      <w:sz w:val="20"/>
      <w:szCs w:val="20"/>
    </w:rPr>
  </w:style>
  <w:style w:type="paragraph" w:styleId="En-tte">
    <w:name w:val="header"/>
    <w:basedOn w:val="Normal"/>
    <w:link w:val="En-tteCar"/>
    <w:uiPriority w:val="99"/>
    <w:unhideWhenUsed/>
    <w:rsid w:val="0032346C"/>
    <w:pPr>
      <w:pBdr>
        <w:top w:val="nil"/>
        <w:left w:val="nil"/>
        <w:bottom w:val="nil"/>
        <w:right w:val="nil"/>
        <w:between w:val="nil"/>
      </w:pBdr>
      <w:tabs>
        <w:tab w:val="center" w:pos="4536"/>
        <w:tab w:val="right" w:pos="9072"/>
      </w:tabs>
    </w:pPr>
    <w:rPr>
      <w:rFonts w:ascii="Cambria" w:eastAsia="Cambria" w:hAnsi="Cambria" w:cs="Cambria"/>
      <w:color w:val="000000"/>
    </w:rPr>
  </w:style>
  <w:style w:type="character" w:customStyle="1" w:styleId="En-tteCar">
    <w:name w:val="En-tête Car"/>
    <w:basedOn w:val="Policepardfaut"/>
    <w:link w:val="En-tte"/>
    <w:uiPriority w:val="99"/>
    <w:rsid w:val="0032346C"/>
  </w:style>
  <w:style w:type="paragraph" w:styleId="Pieddepage">
    <w:name w:val="footer"/>
    <w:basedOn w:val="Normal"/>
    <w:link w:val="PieddepageCar"/>
    <w:uiPriority w:val="99"/>
    <w:unhideWhenUsed/>
    <w:rsid w:val="0032346C"/>
    <w:pPr>
      <w:pBdr>
        <w:top w:val="nil"/>
        <w:left w:val="nil"/>
        <w:bottom w:val="nil"/>
        <w:right w:val="nil"/>
        <w:between w:val="nil"/>
      </w:pBdr>
      <w:tabs>
        <w:tab w:val="center" w:pos="4536"/>
        <w:tab w:val="right" w:pos="9072"/>
      </w:tabs>
    </w:pPr>
    <w:rPr>
      <w:rFonts w:ascii="Cambria" w:eastAsia="Cambria" w:hAnsi="Cambria" w:cs="Cambria"/>
      <w:color w:val="000000"/>
    </w:rPr>
  </w:style>
  <w:style w:type="character" w:customStyle="1" w:styleId="PieddepageCar">
    <w:name w:val="Pied de page Car"/>
    <w:basedOn w:val="Policepardfaut"/>
    <w:link w:val="Pieddepage"/>
    <w:uiPriority w:val="99"/>
    <w:rsid w:val="0032346C"/>
  </w:style>
  <w:style w:type="paragraph" w:customStyle="1" w:styleId="SECTION">
    <w:name w:val="SECTION"/>
    <w:basedOn w:val="Normal"/>
    <w:autoRedefine/>
    <w:qFormat/>
    <w:rsid w:val="00C477A6"/>
    <w:pPr>
      <w:jc w:val="center"/>
    </w:pPr>
    <w:rPr>
      <w:rFonts w:eastAsia="Arial" w:cs="Arial"/>
      <w:b/>
      <w:color w:val="1F497D" w:themeColor="text2"/>
      <w:sz w:val="28"/>
      <w:szCs w:val="22"/>
    </w:rPr>
  </w:style>
  <w:style w:type="paragraph" w:customStyle="1" w:styleId="SOUSTITRE2">
    <w:name w:val="SOUS TITRE 2"/>
    <w:basedOn w:val="Normal"/>
    <w:autoRedefine/>
    <w:qFormat/>
    <w:rsid w:val="00C477A6"/>
    <w:pPr>
      <w:pBdr>
        <w:top w:val="nil"/>
        <w:left w:val="nil"/>
        <w:bottom w:val="nil"/>
        <w:right w:val="nil"/>
        <w:between w:val="nil"/>
      </w:pBdr>
      <w:jc w:val="center"/>
    </w:pPr>
    <w:rPr>
      <w:rFonts w:eastAsia="Arial" w:cs="Arial"/>
      <w:b/>
      <w:bCs/>
      <w:color w:val="1F497D" w:themeColor="text2"/>
      <w:sz w:val="28"/>
      <w:szCs w:val="28"/>
    </w:rPr>
  </w:style>
  <w:style w:type="paragraph" w:styleId="TM2">
    <w:name w:val="toc 2"/>
    <w:basedOn w:val="Normal"/>
    <w:next w:val="Normal"/>
    <w:autoRedefine/>
    <w:uiPriority w:val="39"/>
    <w:unhideWhenUsed/>
    <w:rsid w:val="00DC248C"/>
    <w:pPr>
      <w:tabs>
        <w:tab w:val="right" w:leader="dot" w:pos="9056"/>
      </w:tabs>
      <w:ind w:left="220"/>
    </w:pPr>
    <w:rPr>
      <w:rFonts w:cs="Arial"/>
      <w:smallCaps/>
      <w:noProof/>
      <w:color w:val="1F497D" w:themeColor="text2"/>
      <w:sz w:val="20"/>
      <w:szCs w:val="20"/>
    </w:rPr>
  </w:style>
  <w:style w:type="paragraph" w:styleId="TM3">
    <w:name w:val="toc 3"/>
    <w:basedOn w:val="Normal"/>
    <w:next w:val="Normal"/>
    <w:autoRedefine/>
    <w:uiPriority w:val="39"/>
    <w:unhideWhenUsed/>
    <w:rsid w:val="00DF0C79"/>
    <w:pPr>
      <w:ind w:left="440"/>
    </w:pPr>
    <w:rPr>
      <w:rFonts w:asciiTheme="minorHAnsi" w:hAnsiTheme="minorHAnsi"/>
      <w:i/>
      <w:iCs/>
      <w:sz w:val="20"/>
      <w:szCs w:val="20"/>
    </w:rPr>
  </w:style>
  <w:style w:type="paragraph" w:styleId="TM4">
    <w:name w:val="toc 4"/>
    <w:basedOn w:val="Normal"/>
    <w:next w:val="Normal"/>
    <w:autoRedefine/>
    <w:uiPriority w:val="39"/>
    <w:unhideWhenUsed/>
    <w:rsid w:val="00DF0C79"/>
    <w:pPr>
      <w:ind w:left="660"/>
    </w:pPr>
    <w:rPr>
      <w:rFonts w:asciiTheme="minorHAnsi" w:hAnsiTheme="minorHAnsi"/>
      <w:sz w:val="18"/>
      <w:szCs w:val="18"/>
    </w:rPr>
  </w:style>
  <w:style w:type="paragraph" w:styleId="TM5">
    <w:name w:val="toc 5"/>
    <w:basedOn w:val="Normal"/>
    <w:next w:val="Normal"/>
    <w:autoRedefine/>
    <w:uiPriority w:val="39"/>
    <w:unhideWhenUsed/>
    <w:rsid w:val="00DF0C79"/>
    <w:pPr>
      <w:ind w:left="880"/>
    </w:pPr>
    <w:rPr>
      <w:rFonts w:asciiTheme="minorHAnsi" w:hAnsiTheme="minorHAnsi"/>
      <w:sz w:val="18"/>
      <w:szCs w:val="18"/>
    </w:rPr>
  </w:style>
  <w:style w:type="paragraph" w:styleId="TM6">
    <w:name w:val="toc 6"/>
    <w:basedOn w:val="Normal"/>
    <w:next w:val="Normal"/>
    <w:autoRedefine/>
    <w:uiPriority w:val="39"/>
    <w:unhideWhenUsed/>
    <w:rsid w:val="00DF0C79"/>
    <w:pPr>
      <w:ind w:left="1100"/>
    </w:pPr>
    <w:rPr>
      <w:rFonts w:asciiTheme="minorHAnsi" w:hAnsiTheme="minorHAnsi"/>
      <w:sz w:val="18"/>
      <w:szCs w:val="18"/>
    </w:rPr>
  </w:style>
  <w:style w:type="paragraph" w:styleId="TM7">
    <w:name w:val="toc 7"/>
    <w:basedOn w:val="Normal"/>
    <w:next w:val="Normal"/>
    <w:autoRedefine/>
    <w:uiPriority w:val="39"/>
    <w:unhideWhenUsed/>
    <w:rsid w:val="00DF0C79"/>
    <w:pPr>
      <w:ind w:left="1320"/>
    </w:pPr>
    <w:rPr>
      <w:rFonts w:asciiTheme="minorHAnsi" w:hAnsiTheme="minorHAnsi"/>
      <w:sz w:val="18"/>
      <w:szCs w:val="18"/>
    </w:rPr>
  </w:style>
  <w:style w:type="paragraph" w:styleId="TM8">
    <w:name w:val="toc 8"/>
    <w:basedOn w:val="Normal"/>
    <w:next w:val="Normal"/>
    <w:autoRedefine/>
    <w:uiPriority w:val="39"/>
    <w:unhideWhenUsed/>
    <w:rsid w:val="00DF0C79"/>
    <w:pPr>
      <w:ind w:left="1540"/>
    </w:pPr>
    <w:rPr>
      <w:rFonts w:asciiTheme="minorHAnsi" w:hAnsiTheme="minorHAnsi"/>
      <w:sz w:val="18"/>
      <w:szCs w:val="18"/>
    </w:rPr>
  </w:style>
  <w:style w:type="paragraph" w:styleId="TM9">
    <w:name w:val="toc 9"/>
    <w:basedOn w:val="Normal"/>
    <w:next w:val="Normal"/>
    <w:autoRedefine/>
    <w:uiPriority w:val="39"/>
    <w:unhideWhenUsed/>
    <w:rsid w:val="00DF0C79"/>
    <w:pPr>
      <w:ind w:left="1760"/>
    </w:pPr>
    <w:rPr>
      <w:rFonts w:asciiTheme="minorHAnsi" w:hAnsiTheme="minorHAnsi"/>
      <w:sz w:val="18"/>
      <w:szCs w:val="18"/>
    </w:rPr>
  </w:style>
  <w:style w:type="character" w:styleId="Numrodepage">
    <w:name w:val="page number"/>
    <w:basedOn w:val="Policepardfaut"/>
    <w:uiPriority w:val="99"/>
    <w:semiHidden/>
    <w:unhideWhenUsed/>
    <w:rsid w:val="00400462"/>
  </w:style>
  <w:style w:type="paragraph" w:styleId="NormalWeb">
    <w:name w:val="Normal (Web)"/>
    <w:basedOn w:val="Normal"/>
    <w:uiPriority w:val="99"/>
    <w:unhideWhenUsed/>
    <w:rsid w:val="002D643E"/>
    <w:pPr>
      <w:spacing w:before="100" w:beforeAutospacing="1" w:after="100" w:afterAutospacing="1"/>
    </w:pPr>
    <w:rPr>
      <w:rFonts w:ascii="Times" w:eastAsia="Cambria" w:hAnsi="Times"/>
      <w:sz w:val="20"/>
      <w:szCs w:val="20"/>
    </w:rPr>
  </w:style>
  <w:style w:type="character" w:styleId="Lienhypertexte">
    <w:name w:val="Hyperlink"/>
    <w:basedOn w:val="Policepardfaut"/>
    <w:uiPriority w:val="99"/>
    <w:unhideWhenUsed/>
    <w:rsid w:val="005D400D"/>
    <w:rPr>
      <w:color w:val="0000FF"/>
      <w:u w:val="single"/>
    </w:rPr>
  </w:style>
  <w:style w:type="paragraph" w:styleId="Rvision">
    <w:name w:val="Revision"/>
    <w:hidden/>
    <w:uiPriority w:val="99"/>
    <w:semiHidden/>
    <w:rsid w:val="00AF6DE9"/>
    <w:pPr>
      <w:pBdr>
        <w:top w:val="none" w:sz="0" w:space="0" w:color="auto"/>
        <w:left w:val="none" w:sz="0" w:space="0" w:color="auto"/>
        <w:bottom w:val="none" w:sz="0" w:space="0" w:color="auto"/>
        <w:right w:val="none" w:sz="0" w:space="0" w:color="auto"/>
        <w:between w:val="none" w:sz="0" w:space="0" w:color="auto"/>
      </w:pBdr>
    </w:pPr>
  </w:style>
  <w:style w:type="paragraph" w:styleId="Paragraphedeliste">
    <w:name w:val="List Paragraph"/>
    <w:basedOn w:val="Normal"/>
    <w:uiPriority w:val="34"/>
    <w:qFormat/>
    <w:rsid w:val="00B55FF2"/>
    <w:pPr>
      <w:pBdr>
        <w:top w:val="nil"/>
        <w:left w:val="nil"/>
        <w:bottom w:val="nil"/>
        <w:right w:val="nil"/>
        <w:between w:val="nil"/>
      </w:pBdr>
      <w:ind w:left="720"/>
      <w:contextualSpacing/>
    </w:pPr>
    <w:rPr>
      <w:rFonts w:ascii="Cambria" w:eastAsia="Cambria" w:hAnsi="Cambria" w:cs="Cambria"/>
      <w:color w:val="000000"/>
    </w:rPr>
  </w:style>
  <w:style w:type="character" w:customStyle="1" w:styleId="im">
    <w:name w:val="im"/>
    <w:basedOn w:val="Policepardfaut"/>
    <w:rsid w:val="00F65DC8"/>
  </w:style>
  <w:style w:type="paragraph" w:customStyle="1" w:styleId="amddispotitre">
    <w:name w:val="amddispotitre"/>
    <w:basedOn w:val="Normal"/>
    <w:rsid w:val="00F95A09"/>
    <w:pPr>
      <w:spacing w:before="100" w:beforeAutospacing="1" w:after="100" w:afterAutospacing="1"/>
    </w:pPr>
  </w:style>
  <w:style w:type="character" w:styleId="Marquedecommentaire">
    <w:name w:val="annotation reference"/>
    <w:basedOn w:val="Policepardfaut"/>
    <w:uiPriority w:val="99"/>
    <w:semiHidden/>
    <w:unhideWhenUsed/>
    <w:rsid w:val="0088247D"/>
    <w:rPr>
      <w:sz w:val="16"/>
      <w:szCs w:val="16"/>
    </w:rPr>
  </w:style>
  <w:style w:type="paragraph" w:styleId="Commentaire">
    <w:name w:val="annotation text"/>
    <w:basedOn w:val="Normal"/>
    <w:link w:val="CommentaireCar"/>
    <w:uiPriority w:val="99"/>
    <w:semiHidden/>
    <w:unhideWhenUsed/>
    <w:rsid w:val="0088247D"/>
    <w:rPr>
      <w:sz w:val="20"/>
      <w:szCs w:val="20"/>
    </w:rPr>
  </w:style>
  <w:style w:type="character" w:customStyle="1" w:styleId="CommentaireCar">
    <w:name w:val="Commentaire Car"/>
    <w:basedOn w:val="Policepardfaut"/>
    <w:link w:val="Commentaire"/>
    <w:uiPriority w:val="99"/>
    <w:semiHidden/>
    <w:rsid w:val="0088247D"/>
    <w:rPr>
      <w:rFonts w:ascii="Times New Roman" w:eastAsia="Times New Roman" w:hAnsi="Times New Roman" w:cs="Times New Roman"/>
      <w:color w:val="auto"/>
      <w:sz w:val="20"/>
      <w:szCs w:val="20"/>
    </w:rPr>
  </w:style>
  <w:style w:type="paragraph" w:styleId="Objetducommentaire">
    <w:name w:val="annotation subject"/>
    <w:basedOn w:val="Commentaire"/>
    <w:next w:val="Commentaire"/>
    <w:link w:val="ObjetducommentaireCar"/>
    <w:uiPriority w:val="99"/>
    <w:semiHidden/>
    <w:unhideWhenUsed/>
    <w:rsid w:val="0088247D"/>
    <w:rPr>
      <w:b/>
      <w:bCs/>
    </w:rPr>
  </w:style>
  <w:style w:type="character" w:customStyle="1" w:styleId="ObjetducommentaireCar">
    <w:name w:val="Objet du commentaire Car"/>
    <w:basedOn w:val="CommentaireCar"/>
    <w:link w:val="Objetducommentaire"/>
    <w:uiPriority w:val="99"/>
    <w:semiHidden/>
    <w:rsid w:val="0088247D"/>
    <w:rPr>
      <w:rFonts w:ascii="Times New Roman" w:eastAsia="Times New Roman" w:hAnsi="Times New Roman" w:cs="Times New Roman"/>
      <w:b/>
      <w:bCs/>
      <w:color w:val="auto"/>
      <w:sz w:val="20"/>
      <w:szCs w:val="20"/>
    </w:rPr>
  </w:style>
  <w:style w:type="character" w:styleId="lev">
    <w:name w:val="Strong"/>
    <w:basedOn w:val="Policepardfaut"/>
    <w:uiPriority w:val="22"/>
    <w:qFormat/>
    <w:rsid w:val="009433DB"/>
    <w:rPr>
      <w:b/>
      <w:bCs/>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Sansinterligne">
    <w:name w:val="No Spacing"/>
    <w:aliases w:val="Amendements,Amendement"/>
    <w:uiPriority w:val="1"/>
    <w:qFormat/>
    <w:rsid w:val="00503E7B"/>
    <w:pPr>
      <w:pBdr>
        <w:top w:val="none" w:sz="0" w:space="0" w:color="auto"/>
        <w:left w:val="none" w:sz="0" w:space="0" w:color="auto"/>
        <w:bottom w:val="none" w:sz="0" w:space="0" w:color="auto"/>
        <w:right w:val="none" w:sz="0" w:space="0" w:color="auto"/>
        <w:between w:val="none" w:sz="0" w:space="0" w:color="auto"/>
      </w:pBdr>
      <w:jc w:val="center"/>
    </w:pPr>
    <w:rPr>
      <w:rFonts w:ascii="Arial" w:hAnsi="Arial"/>
      <w:b/>
      <w:sz w:val="22"/>
    </w:rPr>
  </w:style>
  <w:style w:type="paragraph" w:customStyle="1" w:styleId="Sous-Titre2">
    <w:name w:val="Sous-Titre 2"/>
    <w:basedOn w:val="Normal"/>
    <w:autoRedefine/>
    <w:rsid w:val="00066E33"/>
    <w:pPr>
      <w:jc w:val="center"/>
    </w:pPr>
    <w:rPr>
      <w:rFonts w:eastAsia="Arial" w:cs="Arial"/>
      <w:b/>
      <w:bCs/>
      <w:color w:val="E53716"/>
      <w:sz w:val="28"/>
      <w:szCs w:val="22"/>
    </w:rPr>
  </w:style>
  <w:style w:type="character" w:styleId="Mentionnonrsolue">
    <w:name w:val="Unresolved Mention"/>
    <w:basedOn w:val="Policepardfaut"/>
    <w:uiPriority w:val="99"/>
    <w:semiHidden/>
    <w:unhideWhenUsed/>
    <w:rsid w:val="00C47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Article.do?cidTexte=JORFTEXT000000571356&amp;idArticle=LEGIARTI000006527577&amp;dateTexte=&amp;categorieLien=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23983208&amp;idArticle=LEGIARTI000023985667&amp;dateTexte=&amp;categorieLien=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france.gouv.fr/affichCodeArticle.do?cidTexte=LEGITEXT000023983208&amp;idArticle=LEGIARTI000023985667&amp;dateTexte=&amp;categorieLien=cid" TargetMode="External"/><Relationship Id="rId4" Type="http://schemas.openxmlformats.org/officeDocument/2006/relationships/settings" Target="settings.xml"/><Relationship Id="rId9" Type="http://schemas.openxmlformats.org/officeDocument/2006/relationships/hyperlink" Target="https://amorce.asso.fr/"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95mQLQ/arfqJ23Nbijk5qb5xXg==">AMUW2mWVZeacdB3hM4yb3rQx1jwrlxE8d0oj+Ay4RtBKW2NZ3rnpEeOo3ogR0cJnCTSpV714bO4VVbn5CESMtgrKFXr5wcBVTK3dMdGM6le90zbH3dkefwfBC4C9QeAWvRLt2WjGDJI1eQmq1ItuzFP0nz5F8Kzgi9tIAP6hxmdhPUlVM0ijURlgJ9JD8s9aIBObf04gcv8BfytsSni4LBtnG0wDhXDngA==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46</Pages>
  <Words>14554</Words>
  <Characters>80047</Characters>
  <Application>Microsoft Office Word</Application>
  <DocSecurity>0</DocSecurity>
  <Lines>667</Lines>
  <Paragraphs>188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Amorce Novatim</cp:lastModifiedBy>
  <cp:revision>11</cp:revision>
  <dcterms:created xsi:type="dcterms:W3CDTF">2020-09-23T10:35:00Z</dcterms:created>
  <dcterms:modified xsi:type="dcterms:W3CDTF">2021-03-03T17:11:00Z</dcterms:modified>
</cp:coreProperties>
</file>